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highlight w:val="none"/>
        </w:rPr>
      </w:pPr>
      <w:bookmarkStart w:id="0" w:name="OLE_LINK31"/>
      <w:bookmarkStart w:id="1" w:name="OLE_LINK30"/>
    </w:p>
    <w:p>
      <w:pPr>
        <w:spacing w:line="276" w:lineRule="auto"/>
        <w:jc w:val="center"/>
        <w:rPr>
          <w:rFonts w:ascii="Calibri" w:hAnsi="Calibri" w:eastAsia="宋体" w:cs="Times New Roman"/>
          <w:color w:val="000000"/>
          <w:sz w:val="24"/>
          <w:szCs w:val="24"/>
          <w:highlight w:val="none"/>
        </w:rPr>
      </w:pPr>
      <w:r>
        <w:rPr>
          <w:rFonts w:hint="eastAsia" w:ascii="Calibri" w:hAnsi="宋体" w:eastAsia="宋体" w:cs="Times New Roman"/>
          <w:b/>
          <w:bCs/>
          <w:color w:val="000000"/>
          <w:spacing w:val="-8"/>
          <w:sz w:val="44"/>
          <w:szCs w:val="40"/>
          <w:highlight w:val="none"/>
        </w:rPr>
        <w:t>新能源产品试验检测中心（二期）试验室环保设备设施项目-材料试验室招标公告</w:t>
      </w:r>
    </w:p>
    <w:p>
      <w:pPr>
        <w:pStyle w:val="19"/>
        <w:rPr>
          <w:highlight w:val="none"/>
        </w:rPr>
      </w:pPr>
    </w:p>
    <w:p>
      <w:pPr>
        <w:pStyle w:val="19"/>
        <w:rPr>
          <w:highlight w:val="none"/>
        </w:rPr>
      </w:pPr>
    </w:p>
    <w:p>
      <w:pPr>
        <w:pStyle w:val="19"/>
        <w:rPr>
          <w:highlight w:val="none"/>
        </w:rPr>
      </w:pPr>
    </w:p>
    <w:p>
      <w:pPr>
        <w:pStyle w:val="19"/>
        <w:rPr>
          <w:highlight w:val="none"/>
        </w:rPr>
      </w:pPr>
    </w:p>
    <w:p>
      <w:pPr>
        <w:pStyle w:val="19"/>
        <w:rPr>
          <w:highlight w:val="none"/>
        </w:rPr>
      </w:pPr>
    </w:p>
    <w:p>
      <w:pPr>
        <w:pStyle w:val="19"/>
        <w:rPr>
          <w:highlight w:val="none"/>
        </w:rPr>
      </w:pPr>
    </w:p>
    <w:p>
      <w:pPr>
        <w:jc w:val="right"/>
        <w:rPr>
          <w:rFonts w:ascii="Calibri" w:hAnsi="Calibri" w:eastAsia="宋体" w:cs="Times New Roman"/>
          <w:color w:val="000000"/>
          <w:sz w:val="28"/>
          <w:szCs w:val="28"/>
          <w:highlight w:val="none"/>
        </w:rPr>
      </w:pPr>
    </w:p>
    <w:p>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招</w:t>
      </w:r>
    </w:p>
    <w:p>
      <w:pPr>
        <w:jc w:val="center"/>
        <w:rPr>
          <w:rFonts w:ascii="黑体" w:hAnsi="宋体" w:eastAsia="黑体" w:cs="Times New Roman"/>
          <w:color w:val="000000"/>
          <w:sz w:val="72"/>
          <w:szCs w:val="72"/>
          <w:highlight w:val="none"/>
        </w:rPr>
      </w:pPr>
    </w:p>
    <w:p>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pPr>
        <w:jc w:val="center"/>
        <w:rPr>
          <w:rFonts w:ascii="黑体" w:hAnsi="宋体" w:eastAsia="黑体" w:cs="Times New Roman"/>
          <w:color w:val="000000"/>
          <w:sz w:val="72"/>
          <w:szCs w:val="72"/>
          <w:highlight w:val="none"/>
        </w:rPr>
      </w:pPr>
    </w:p>
    <w:p>
      <w:pPr>
        <w:jc w:val="center"/>
        <w:rPr>
          <w:rFonts w:ascii="宋体" w:hAnsi="Calibri" w:eastAsia="宋体" w:cs="Times New Roman"/>
          <w:color w:val="000000"/>
          <w:sz w:val="28"/>
          <w:szCs w:val="28"/>
          <w:highlight w:val="none"/>
        </w:rPr>
      </w:pPr>
      <w:r>
        <w:rPr>
          <w:rFonts w:hint="eastAsia" w:ascii="黑体" w:hAnsi="宋体" w:eastAsia="黑体" w:cs="Times New Roman"/>
          <w:color w:val="000000"/>
          <w:sz w:val="72"/>
          <w:szCs w:val="72"/>
          <w:highlight w:val="none"/>
        </w:rPr>
        <w:t>书</w:t>
      </w:r>
    </w:p>
    <w:p>
      <w:pPr>
        <w:spacing w:line="860" w:lineRule="exact"/>
        <w:rPr>
          <w:rFonts w:ascii="华文仿宋" w:hAnsi="华文仿宋" w:eastAsia="华文仿宋"/>
          <w:b/>
          <w:bCs/>
          <w:sz w:val="32"/>
          <w:szCs w:val="28"/>
          <w:highlight w:val="none"/>
        </w:rPr>
      </w:pPr>
      <w:r>
        <w:rPr>
          <w:rFonts w:hint="eastAsia" w:ascii="华文仿宋" w:hAnsi="华文仿宋" w:eastAsia="华文仿宋"/>
          <w:sz w:val="32"/>
          <w:szCs w:val="28"/>
          <w:highlight w:val="none"/>
        </w:rPr>
        <w:t xml:space="preserve">                </w:t>
      </w:r>
      <w:r>
        <w:rPr>
          <w:rFonts w:hint="eastAsia" w:ascii="华文仿宋" w:hAnsi="华文仿宋" w:eastAsia="华文仿宋"/>
          <w:b/>
          <w:bCs/>
          <w:sz w:val="32"/>
          <w:szCs w:val="28"/>
          <w:highlight w:val="none"/>
        </w:rPr>
        <w:t xml:space="preserve"> </w:t>
      </w:r>
    </w:p>
    <w:p>
      <w:pPr>
        <w:spacing w:line="860" w:lineRule="exact"/>
        <w:rPr>
          <w:rFonts w:ascii="华文仿宋" w:hAnsi="华文仿宋" w:eastAsia="华文仿宋"/>
          <w:b/>
          <w:bCs/>
          <w:sz w:val="32"/>
          <w:szCs w:val="28"/>
          <w:highlight w:val="none"/>
        </w:rPr>
      </w:pPr>
      <w:r>
        <w:rPr>
          <w:rFonts w:hint="eastAsia" w:ascii="华文仿宋" w:hAnsi="华文仿宋" w:eastAsia="华文仿宋"/>
          <w:b/>
          <w:bCs/>
          <w:sz w:val="32"/>
          <w:szCs w:val="28"/>
          <w:highlight w:val="none"/>
        </w:rPr>
        <w:t xml:space="preserve">                      </w:t>
      </w:r>
    </w:p>
    <w:p>
      <w:pPr>
        <w:spacing w:line="860" w:lineRule="exact"/>
        <w:rPr>
          <w:rFonts w:ascii="华文仿宋" w:hAnsi="华文仿宋" w:eastAsia="华文仿宋"/>
          <w:b/>
          <w:bCs/>
          <w:sz w:val="32"/>
          <w:szCs w:val="28"/>
          <w:highlight w:val="none"/>
        </w:rPr>
      </w:pPr>
      <w:r>
        <w:rPr>
          <w:rFonts w:hint="eastAsia" w:ascii="华文仿宋" w:hAnsi="华文仿宋" w:eastAsia="华文仿宋"/>
          <w:b/>
          <w:bCs/>
          <w:sz w:val="32"/>
          <w:szCs w:val="28"/>
          <w:highlight w:val="none"/>
        </w:rPr>
        <w:t xml:space="preserve">                   </w:t>
      </w:r>
    </w:p>
    <w:p>
      <w:pPr>
        <w:pStyle w:val="19"/>
        <w:rPr>
          <w:b/>
          <w:bCs/>
          <w:highlight w:val="none"/>
        </w:rPr>
      </w:pPr>
    </w:p>
    <w:p>
      <w:pPr>
        <w:jc w:val="center"/>
        <w:rPr>
          <w:rFonts w:hint="eastAsia" w:ascii="宋体" w:hAnsi="Calibri" w:eastAsia="宋体" w:cs="Times New Roman"/>
          <w:color w:val="000000"/>
          <w:sz w:val="28"/>
          <w:szCs w:val="28"/>
          <w:highlight w:val="none"/>
          <w:lang w:eastAsia="zh-CN"/>
        </w:rPr>
      </w:pPr>
      <w:r>
        <w:rPr>
          <w:rFonts w:hint="eastAsia" w:ascii="宋体" w:hAnsi="宋体" w:eastAsia="宋体" w:cs="Times New Roman"/>
          <w:color w:val="000000"/>
          <w:sz w:val="28"/>
          <w:szCs w:val="28"/>
          <w:highlight w:val="none"/>
        </w:rPr>
        <w:t>招</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标</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人：</w:t>
      </w:r>
      <w:r>
        <w:rPr>
          <w:rFonts w:hint="eastAsia" w:ascii="宋体" w:hAnsi="宋体" w:eastAsia="宋体" w:cs="Times New Roman"/>
          <w:color w:val="000000"/>
          <w:sz w:val="28"/>
          <w:szCs w:val="28"/>
          <w:highlight w:val="none"/>
          <w:lang w:eastAsia="zh-CN"/>
        </w:rPr>
        <w:t>中国重汽集团济南动力有限公司</w:t>
      </w:r>
    </w:p>
    <w:p>
      <w:pPr>
        <w:jc w:val="center"/>
        <w:rPr>
          <w:rFonts w:ascii="宋体" w:hAnsi="Calibri" w:eastAsia="宋体" w:cs="Times New Roman"/>
          <w:color w:val="000000"/>
          <w:sz w:val="28"/>
          <w:szCs w:val="28"/>
          <w:highlight w:val="none"/>
        </w:rPr>
      </w:pPr>
      <w:r>
        <w:rPr>
          <w:rFonts w:hint="eastAsia" w:ascii="Calibri" w:hAnsi="Calibri" w:eastAsia="宋体" w:cs="Times New Roman"/>
          <w:color w:val="000000"/>
          <w:sz w:val="28"/>
          <w:szCs w:val="28"/>
          <w:highlight w:val="none"/>
        </w:rPr>
        <w:t>2025年</w:t>
      </w:r>
      <w:r>
        <w:rPr>
          <w:rFonts w:hint="eastAsia" w:ascii="Calibri" w:hAnsi="Calibri" w:eastAsia="宋体" w:cs="Times New Roman"/>
          <w:color w:val="000000"/>
          <w:sz w:val="28"/>
          <w:szCs w:val="28"/>
          <w:highlight w:val="none"/>
          <w:lang w:val="en-US" w:eastAsia="zh-CN"/>
        </w:rPr>
        <w:t>12</w:t>
      </w:r>
      <w:r>
        <w:rPr>
          <w:rFonts w:hint="eastAsia" w:ascii="Calibri" w:hAnsi="Calibri" w:eastAsia="宋体" w:cs="Times New Roman"/>
          <w:color w:val="000000"/>
          <w:sz w:val="28"/>
          <w:szCs w:val="28"/>
          <w:highlight w:val="none"/>
        </w:rPr>
        <w:t>月</w:t>
      </w:r>
    </w:p>
    <w:p>
      <w:pPr>
        <w:keepNext/>
        <w:keepLines/>
        <w:jc w:val="center"/>
        <w:rPr>
          <w:rFonts w:ascii="Calibri" w:hAnsi="Calibri" w:eastAsia="宋体" w:cs="Times New Roman"/>
          <w:b/>
          <w:bCs/>
          <w:kern w:val="44"/>
          <w:sz w:val="36"/>
          <w:szCs w:val="44"/>
          <w:highlight w:val="none"/>
        </w:rPr>
        <w:sectPr>
          <w:footerReference r:id="rId4" w:type="first"/>
          <w:footerReference r:id="rId3" w:type="default"/>
          <w:pgSz w:w="11906" w:h="16838"/>
          <w:pgMar w:top="1588" w:right="1418" w:bottom="1134" w:left="1418" w:header="851" w:footer="992" w:gutter="0"/>
          <w:pgNumType w:fmt="decimal" w:start="1"/>
          <w:cols w:space="720" w:num="1"/>
          <w:titlePg/>
          <w:docGrid w:type="lines" w:linePitch="312" w:charSpace="0"/>
        </w:sectPr>
      </w:pPr>
    </w:p>
    <w:sdt>
      <w:sdtPr>
        <w:rPr>
          <w:rFonts w:ascii="宋体" w:hAnsi="宋体" w:eastAsia="宋体" w:cs="宋体"/>
          <w:b/>
          <w:bCs/>
          <w:sz w:val="48"/>
          <w:szCs w:val="48"/>
          <w:highlight w:val="none"/>
        </w:rPr>
        <w:id w:val="147459055"/>
        <w15:color w:val="DBDBDB"/>
        <w:docPartObj>
          <w:docPartGallery w:val="Table of Contents"/>
          <w:docPartUnique/>
        </w:docPartObj>
      </w:sdtPr>
      <w:sdtEndPr>
        <w:rPr>
          <w:rFonts w:hint="eastAsia" w:ascii="Calibri" w:hAnsi="Calibri" w:eastAsia="宋体" w:cs="Times New Roman"/>
          <w:b/>
          <w:bCs/>
          <w:kern w:val="44"/>
          <w:sz w:val="21"/>
          <w:szCs w:val="44"/>
          <w:highlight w:val="none"/>
        </w:rPr>
      </w:sdtEndPr>
      <w:sdtContent>
        <w:p>
          <w:pPr>
            <w:spacing w:line="480" w:lineRule="auto"/>
            <w:jc w:val="center"/>
            <w:rPr>
              <w:rFonts w:cs="宋体"/>
              <w:b/>
              <w:bCs/>
              <w:sz w:val="48"/>
              <w:szCs w:val="48"/>
              <w:highlight w:val="none"/>
            </w:rPr>
          </w:pPr>
          <w:r>
            <w:rPr>
              <w:rFonts w:ascii="宋体" w:hAnsi="宋体" w:eastAsia="宋体" w:cs="宋体"/>
              <w:b/>
              <w:bCs/>
              <w:sz w:val="48"/>
              <w:szCs w:val="48"/>
              <w:highlight w:val="none"/>
            </w:rPr>
            <w:t>目录</w:t>
          </w:r>
        </w:p>
        <w:p>
          <w:pPr>
            <w:pStyle w:val="26"/>
            <w:tabs>
              <w:tab w:val="right" w:leader="dot" w:pos="9071"/>
            </w:tabs>
            <w:spacing w:line="480" w:lineRule="auto"/>
            <w:rPr>
              <w:color w:val="auto"/>
              <w:sz w:val="32"/>
              <w:szCs w:val="32"/>
              <w:highlight w:val="none"/>
            </w:rPr>
          </w:pPr>
          <w:r>
            <w:rPr>
              <w:rFonts w:hint="eastAsia" w:ascii="Calibri" w:hAnsi="Calibri"/>
              <w:bCs/>
              <w:kern w:val="44"/>
              <w:sz w:val="36"/>
              <w:szCs w:val="44"/>
              <w:highlight w:val="none"/>
            </w:rPr>
            <w:fldChar w:fldCharType="begin"/>
          </w:r>
          <w:r>
            <w:rPr>
              <w:rFonts w:hint="eastAsia" w:ascii="Calibri" w:hAnsi="Calibri"/>
              <w:bCs/>
              <w:kern w:val="44"/>
              <w:sz w:val="36"/>
              <w:szCs w:val="44"/>
              <w:highlight w:val="none"/>
            </w:rPr>
            <w:instrText xml:space="preserve">TOC \o "1-1" \h \u </w:instrText>
          </w:r>
          <w:r>
            <w:rPr>
              <w:rFonts w:hint="eastAsia" w:ascii="Calibri" w:hAnsi="Calibri"/>
              <w:bCs/>
              <w:kern w:val="44"/>
              <w:sz w:val="36"/>
              <w:szCs w:val="44"/>
              <w:highlight w:val="none"/>
            </w:rPr>
            <w:fldChar w:fldCharType="separate"/>
          </w:r>
          <w:r>
            <w:rPr>
              <w:highlight w:val="none"/>
            </w:rPr>
            <w:fldChar w:fldCharType="begin"/>
          </w:r>
          <w:r>
            <w:rPr>
              <w:highlight w:val="none"/>
            </w:rPr>
            <w:instrText xml:space="preserve"> HYPERLINK \l "_Toc25915" </w:instrText>
          </w:r>
          <w:r>
            <w:rPr>
              <w:highlight w:val="none"/>
            </w:rPr>
            <w:fldChar w:fldCharType="separate"/>
          </w:r>
          <w:r>
            <w:rPr>
              <w:rFonts w:hint="eastAsia" w:ascii="Calibri" w:hAnsi="Calibri"/>
              <w:bCs/>
              <w:color w:val="auto"/>
              <w:kern w:val="44"/>
              <w:sz w:val="32"/>
              <w:szCs w:val="32"/>
              <w:highlight w:val="none"/>
            </w:rPr>
            <w:t>第一部分 投标人须知前附表</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3</w:t>
          </w:r>
        </w:p>
        <w:p>
          <w:pPr>
            <w:pStyle w:val="26"/>
            <w:tabs>
              <w:tab w:val="right" w:leader="dot" w:pos="9071"/>
            </w:tabs>
            <w:spacing w:line="480" w:lineRule="auto"/>
            <w:rPr>
              <w:color w:val="auto"/>
              <w:sz w:val="32"/>
              <w:szCs w:val="32"/>
              <w:highlight w:val="none"/>
            </w:rPr>
          </w:pPr>
          <w:r>
            <w:rPr>
              <w:highlight w:val="none"/>
            </w:rPr>
            <w:fldChar w:fldCharType="begin"/>
          </w:r>
          <w:r>
            <w:rPr>
              <w:highlight w:val="none"/>
            </w:rPr>
            <w:instrText xml:space="preserve"> HYPERLINK \l "_Toc15609" </w:instrText>
          </w:r>
          <w:r>
            <w:rPr>
              <w:highlight w:val="none"/>
            </w:rPr>
            <w:fldChar w:fldCharType="separate"/>
          </w:r>
          <w:r>
            <w:rPr>
              <w:rFonts w:hint="eastAsia" w:ascii="Calibri" w:hAnsi="Calibri"/>
              <w:bCs/>
              <w:color w:val="auto"/>
              <w:kern w:val="44"/>
              <w:sz w:val="32"/>
              <w:szCs w:val="32"/>
              <w:highlight w:val="none"/>
            </w:rPr>
            <w:t>第二部分 投标人须知</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7</w:t>
          </w:r>
        </w:p>
        <w:p>
          <w:pPr>
            <w:pStyle w:val="26"/>
            <w:tabs>
              <w:tab w:val="right" w:leader="dot" w:pos="9071"/>
            </w:tabs>
            <w:spacing w:line="480" w:lineRule="auto"/>
            <w:rPr>
              <w:color w:val="auto"/>
              <w:sz w:val="32"/>
              <w:szCs w:val="32"/>
              <w:highlight w:val="none"/>
            </w:rPr>
          </w:pPr>
          <w:r>
            <w:rPr>
              <w:highlight w:val="none"/>
            </w:rPr>
            <w:fldChar w:fldCharType="begin"/>
          </w:r>
          <w:r>
            <w:rPr>
              <w:highlight w:val="none"/>
            </w:rPr>
            <w:instrText xml:space="preserve"> HYPERLINK \l "_Toc22879" </w:instrText>
          </w:r>
          <w:r>
            <w:rPr>
              <w:highlight w:val="none"/>
            </w:rPr>
            <w:fldChar w:fldCharType="separate"/>
          </w:r>
          <w:r>
            <w:rPr>
              <w:rFonts w:hint="eastAsia" w:ascii="Calibri" w:hAnsi="Calibri"/>
              <w:bCs/>
              <w:color w:val="auto"/>
              <w:kern w:val="44"/>
              <w:sz w:val="32"/>
              <w:szCs w:val="32"/>
              <w:highlight w:val="none"/>
            </w:rPr>
            <w:t>第三部分 投标文件编制</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13</w:t>
          </w:r>
        </w:p>
        <w:p>
          <w:pPr>
            <w:pStyle w:val="26"/>
            <w:tabs>
              <w:tab w:val="right" w:leader="dot" w:pos="9071"/>
            </w:tabs>
            <w:spacing w:line="480" w:lineRule="auto"/>
            <w:rPr>
              <w:color w:val="auto"/>
              <w:sz w:val="32"/>
              <w:szCs w:val="32"/>
              <w:highlight w:val="none"/>
            </w:rPr>
          </w:pPr>
          <w:r>
            <w:rPr>
              <w:highlight w:val="none"/>
            </w:rPr>
            <w:fldChar w:fldCharType="begin"/>
          </w:r>
          <w:r>
            <w:rPr>
              <w:highlight w:val="none"/>
            </w:rPr>
            <w:instrText xml:space="preserve"> HYPERLINK \l "_Toc9849" </w:instrText>
          </w:r>
          <w:r>
            <w:rPr>
              <w:highlight w:val="none"/>
            </w:rPr>
            <w:fldChar w:fldCharType="separate"/>
          </w:r>
          <w:r>
            <w:rPr>
              <w:rFonts w:hint="eastAsia" w:ascii="Calibri" w:hAnsi="Calibri"/>
              <w:bCs/>
              <w:color w:val="auto"/>
              <w:kern w:val="44"/>
              <w:sz w:val="32"/>
              <w:szCs w:val="32"/>
              <w:highlight w:val="none"/>
            </w:rPr>
            <w:t>第四部分 技术标书</w:t>
          </w:r>
          <w:r>
            <w:rPr>
              <w:rFonts w:hint="eastAsia" w:ascii="Calibri"/>
              <w:bCs/>
              <w:color w:val="auto"/>
              <w:spacing w:val="-8"/>
              <w:sz w:val="32"/>
              <w:szCs w:val="32"/>
              <w:highlight w:val="none"/>
            </w:rPr>
            <w:t xml:space="preserve"> </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16</w:t>
          </w:r>
        </w:p>
        <w:p>
          <w:pPr>
            <w:pStyle w:val="26"/>
            <w:tabs>
              <w:tab w:val="right" w:leader="dot" w:pos="9071"/>
            </w:tabs>
            <w:spacing w:line="480" w:lineRule="auto"/>
            <w:rPr>
              <w:rFonts w:hint="default" w:eastAsia="宋体"/>
              <w:color w:val="auto"/>
              <w:sz w:val="32"/>
              <w:szCs w:val="32"/>
              <w:highlight w:val="none"/>
              <w:lang w:val="en-US" w:eastAsia="zh-CN"/>
            </w:rPr>
          </w:pPr>
          <w:r>
            <w:rPr>
              <w:highlight w:val="none"/>
            </w:rPr>
            <w:fldChar w:fldCharType="begin"/>
          </w:r>
          <w:r>
            <w:rPr>
              <w:highlight w:val="none"/>
            </w:rPr>
            <w:instrText xml:space="preserve"> HYPERLINK \l "_Toc28859" </w:instrText>
          </w:r>
          <w:r>
            <w:rPr>
              <w:highlight w:val="none"/>
            </w:rPr>
            <w:fldChar w:fldCharType="separate"/>
          </w:r>
          <w:r>
            <w:rPr>
              <w:rFonts w:hint="eastAsia"/>
              <w:color w:val="auto"/>
              <w:sz w:val="32"/>
              <w:szCs w:val="32"/>
              <w:highlight w:val="none"/>
            </w:rPr>
            <w:t>第五部分</w:t>
          </w:r>
          <w:r>
            <w:rPr>
              <w:color w:val="auto"/>
              <w:sz w:val="32"/>
              <w:szCs w:val="32"/>
              <w:highlight w:val="none"/>
            </w:rPr>
            <w:t xml:space="preserve"> </w:t>
          </w:r>
          <w:r>
            <w:rPr>
              <w:rFonts w:hint="eastAsia"/>
              <w:color w:val="auto"/>
              <w:sz w:val="32"/>
              <w:szCs w:val="32"/>
              <w:highlight w:val="none"/>
            </w:rPr>
            <w:t>设备采购合同</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41</w:t>
          </w:r>
        </w:p>
        <w:p>
          <w:pPr>
            <w:pStyle w:val="26"/>
            <w:tabs>
              <w:tab w:val="right" w:leader="dot" w:pos="9071"/>
            </w:tabs>
            <w:spacing w:line="480" w:lineRule="auto"/>
            <w:rPr>
              <w:rFonts w:hint="default" w:eastAsia="宋体"/>
              <w:highlight w:val="none"/>
              <w:lang w:val="en-US" w:eastAsia="zh-CN"/>
            </w:rPr>
          </w:pPr>
          <w:r>
            <w:rPr>
              <w:highlight w:val="none"/>
            </w:rPr>
            <w:fldChar w:fldCharType="begin"/>
          </w:r>
          <w:r>
            <w:rPr>
              <w:highlight w:val="none"/>
            </w:rPr>
            <w:instrText xml:space="preserve"> HYPERLINK \l "_Toc29691" </w:instrText>
          </w:r>
          <w:r>
            <w:rPr>
              <w:highlight w:val="none"/>
            </w:rPr>
            <w:fldChar w:fldCharType="separate"/>
          </w:r>
          <w:r>
            <w:rPr>
              <w:rFonts w:hint="eastAsia" w:ascii="Calibri" w:hAnsi="Calibri"/>
              <w:bCs/>
              <w:color w:val="auto"/>
              <w:kern w:val="44"/>
              <w:sz w:val="32"/>
              <w:szCs w:val="32"/>
              <w:highlight w:val="none"/>
            </w:rPr>
            <w:t>第六部分</w:t>
          </w:r>
          <w:r>
            <w:rPr>
              <w:rFonts w:ascii="Calibri" w:hAnsi="Calibri"/>
              <w:bCs/>
              <w:color w:val="auto"/>
              <w:kern w:val="44"/>
              <w:sz w:val="32"/>
              <w:szCs w:val="32"/>
              <w:highlight w:val="none"/>
            </w:rPr>
            <w:t xml:space="preserve"> </w:t>
          </w:r>
          <w:r>
            <w:rPr>
              <w:rFonts w:hint="eastAsia" w:ascii="Calibri" w:hAnsi="Calibri"/>
              <w:bCs/>
              <w:color w:val="auto"/>
              <w:kern w:val="44"/>
              <w:sz w:val="32"/>
              <w:szCs w:val="32"/>
              <w:highlight w:val="none"/>
            </w:rPr>
            <w:t>投标文件附件</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63</w:t>
          </w:r>
        </w:p>
        <w:p>
          <w:pPr>
            <w:pStyle w:val="19"/>
            <w:spacing w:line="480" w:lineRule="auto"/>
            <w:jc w:val="center"/>
            <w:rPr>
              <w:rFonts w:ascii="Calibri" w:hAnsi="Calibri" w:eastAsia="宋体" w:cs="Times New Roman"/>
              <w:b/>
              <w:bCs/>
              <w:kern w:val="44"/>
              <w:sz w:val="36"/>
              <w:szCs w:val="44"/>
              <w:highlight w:val="none"/>
            </w:rPr>
            <w:sectPr>
              <w:headerReference r:id="rId5" w:type="default"/>
              <w:footerReference r:id="rId6" w:type="default"/>
              <w:pgSz w:w="11907" w:h="16840"/>
              <w:pgMar w:top="1304" w:right="1418" w:bottom="1304" w:left="1418" w:header="724" w:footer="851" w:gutter="0"/>
              <w:pgNumType w:fmt="decimal"/>
              <w:cols w:space="720" w:num="1"/>
              <w:docGrid w:linePitch="290" w:charSpace="-3931"/>
            </w:sectPr>
          </w:pPr>
          <w:r>
            <w:rPr>
              <w:rFonts w:hint="eastAsia" w:ascii="Calibri" w:hAnsi="Calibri" w:eastAsia="宋体" w:cs="Times New Roman"/>
              <w:bCs/>
              <w:kern w:val="44"/>
              <w:szCs w:val="44"/>
              <w:highlight w:val="none"/>
            </w:rPr>
            <w:fldChar w:fldCharType="end"/>
          </w:r>
        </w:p>
      </w:sdtContent>
    </w:sdt>
    <w:p>
      <w:pPr>
        <w:pStyle w:val="19"/>
        <w:numPr>
          <w:ilvl w:val="0"/>
          <w:numId w:val="2"/>
        </w:numPr>
        <w:jc w:val="center"/>
        <w:outlineLvl w:val="0"/>
        <w:rPr>
          <w:rFonts w:ascii="Calibri" w:hAnsi="Calibri" w:eastAsia="宋体" w:cs="Times New Roman"/>
          <w:b/>
          <w:bCs/>
          <w:kern w:val="44"/>
          <w:sz w:val="36"/>
          <w:szCs w:val="44"/>
          <w:highlight w:val="none"/>
        </w:rPr>
      </w:pPr>
      <w:bookmarkStart w:id="2" w:name="_Toc25915"/>
      <w:r>
        <w:rPr>
          <w:rFonts w:hint="eastAsia" w:ascii="Calibri" w:hAnsi="Calibri" w:eastAsia="宋体" w:cs="Times New Roman"/>
          <w:b/>
          <w:bCs/>
          <w:kern w:val="44"/>
          <w:sz w:val="36"/>
          <w:szCs w:val="44"/>
          <w:highlight w:val="none"/>
        </w:rPr>
        <w:t xml:space="preserve"> 投标须知前附表</w:t>
      </w:r>
      <w:bookmarkEnd w:id="2"/>
    </w:p>
    <w:p>
      <w:pPr>
        <w:pStyle w:val="19"/>
        <w:jc w:val="center"/>
        <w:rPr>
          <w:rFonts w:ascii="Calibri" w:hAnsi="Calibri" w:eastAsia="宋体" w:cs="Times New Roman"/>
          <w:b/>
          <w:bCs/>
          <w:kern w:val="44"/>
          <w:sz w:val="36"/>
          <w:szCs w:val="44"/>
          <w:highlight w:val="none"/>
        </w:rPr>
      </w:pPr>
    </w:p>
    <w:p>
      <w:pPr>
        <w:spacing w:line="360" w:lineRule="auto"/>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本部分是对“投标须知”正文的具体补充和修改，如有不一致，以“前附表”为准。</w:t>
      </w:r>
    </w:p>
    <w:tbl>
      <w:tblPr>
        <w:tblStyle w:val="38"/>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6"/>
                <w:rFonts w:ascii="宋体" w:hAnsi="宋体" w:eastAsia="宋体" w:cs="宋体"/>
                <w:b/>
                <w:sz w:val="28"/>
                <w:szCs w:val="28"/>
                <w:highlight w:val="none"/>
              </w:rPr>
            </w:pPr>
            <w:bookmarkStart w:id="3" w:name="_Toc346372875"/>
            <w:r>
              <w:rPr>
                <w:rStyle w:val="136"/>
                <w:rFonts w:hint="eastAsia" w:ascii="宋体" w:hAnsi="宋体" w:eastAsia="宋体" w:cs="宋体"/>
                <w:b/>
                <w:sz w:val="28"/>
                <w:szCs w:val="28"/>
                <w:highlight w:val="none"/>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ascii="宋体" w:hAnsi="宋体" w:eastAsia="宋体" w:cs="宋体"/>
                <w:b/>
                <w:bCs/>
                <w:sz w:val="28"/>
                <w:szCs w:val="28"/>
                <w:highlight w:val="none"/>
              </w:rPr>
            </w:pPr>
            <w:r>
              <w:rPr>
                <w:rStyle w:val="136"/>
                <w:rFonts w:hint="eastAsia" w:ascii="宋体" w:hAnsi="宋体" w:eastAsia="宋体" w:cs="宋体"/>
                <w:b/>
                <w:sz w:val="28"/>
                <w:szCs w:val="28"/>
                <w:highlight w:val="none"/>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项目名称：新能源产品试验检测中心（二期）试验室环保设备设施项目-材料试验室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rPr>
              <w:t>采购形式编号：</w:t>
            </w:r>
            <w:r>
              <w:rPr>
                <w:rFonts w:hint="eastAsia" w:ascii="宋体" w:hAnsi="宋体" w:eastAsia="宋体" w:cs="宋体"/>
                <w:sz w:val="24"/>
                <w:szCs w:val="24"/>
                <w:highlight w:val="none"/>
                <w:u w:val="single"/>
                <w:lang w:val="en-US" w:eastAsia="zh-CN"/>
              </w:rPr>
              <w:t xml:space="preserve"> FSCZB2025120158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招标内容：新能源产品试验检测中心（二期）试验室环保设备设施项目-材料试验室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none"/>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lang w:eastAsia="zh-CN"/>
              </w:rPr>
              <w:t>中国重汽集团济南动力有限公司</w:t>
            </w:r>
            <w:r>
              <w:rPr>
                <w:rFonts w:hint="eastAsia" w:ascii="宋体" w:hAnsi="宋体" w:eastAsia="宋体" w:cs="宋体"/>
                <w:bCs/>
                <w:snapToGrid w:val="0"/>
                <w:kern w:val="0"/>
                <w:sz w:val="24"/>
                <w:szCs w:val="24"/>
                <w:highlight w:val="none"/>
              </w:rPr>
              <w:t xml:space="preserve"> </w:t>
            </w:r>
          </w:p>
          <w:p>
            <w:pPr>
              <w:ind w:firstLine="482" w:firstLineChars="200"/>
              <w:rPr>
                <w:rFonts w:hint="eastAsia" w:ascii="宋体" w:hAnsi="宋体" w:eastAsia="宋体" w:cs="宋体"/>
                <w:bCs/>
                <w:snapToGrid w:val="0"/>
                <w:kern w:val="0"/>
                <w:sz w:val="24"/>
                <w:szCs w:val="24"/>
                <w:highlight w:val="none"/>
                <w:lang w:eastAsia="zh-CN"/>
              </w:rPr>
            </w:pPr>
            <w:r>
              <w:rPr>
                <w:rFonts w:hint="eastAsia" w:ascii="宋体" w:hAnsi="宋体" w:eastAsia="宋体" w:cs="宋体"/>
                <w:b/>
                <w:snapToGrid w:val="0"/>
                <w:kern w:val="0"/>
                <w:sz w:val="24"/>
                <w:szCs w:val="24"/>
                <w:highlight w:val="none"/>
                <w:lang w:val="en-US" w:eastAsia="zh-CN"/>
              </w:rPr>
              <w:t>e采通操作及商务</w:t>
            </w:r>
            <w:r>
              <w:rPr>
                <w:rFonts w:hint="eastAsia" w:ascii="宋体" w:hAnsi="宋体" w:eastAsia="宋体" w:cs="宋体"/>
                <w:b/>
                <w:snapToGrid w:val="0"/>
                <w:kern w:val="0"/>
                <w:sz w:val="24"/>
                <w:szCs w:val="24"/>
                <w:highlight w:val="none"/>
              </w:rPr>
              <w:t>联系人：</w:t>
            </w:r>
            <w:r>
              <w:rPr>
                <w:rFonts w:hint="eastAsia" w:ascii="宋体" w:hAnsi="宋体" w:eastAsia="宋体" w:cs="宋体"/>
                <w:bCs/>
                <w:snapToGrid w:val="0"/>
                <w:kern w:val="0"/>
                <w:sz w:val="24"/>
                <w:szCs w:val="24"/>
                <w:highlight w:val="none"/>
                <w:lang w:val="en-US" w:eastAsia="zh-CN"/>
              </w:rPr>
              <w:t>李岳</w:t>
            </w:r>
          </w:p>
          <w:p>
            <w:pPr>
              <w:pStyle w:val="19"/>
              <w:ind w:firstLine="482" w:firstLineChars="200"/>
              <w:rPr>
                <w:rFonts w:hint="default" w:eastAsia="宋体"/>
                <w:highlight w:val="none"/>
                <w:lang w:val="en-US" w:eastAsia="zh-CN"/>
              </w:rPr>
            </w:pPr>
            <w:r>
              <w:rPr>
                <w:rFonts w:hint="eastAsia"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rPr>
              <w:t>1786</w:t>
            </w:r>
            <w:r>
              <w:rPr>
                <w:rFonts w:hint="eastAsia" w:hAnsi="宋体" w:eastAsia="宋体" w:cs="宋体"/>
                <w:bCs/>
                <w:snapToGrid w:val="0"/>
                <w:kern w:val="0"/>
                <w:sz w:val="24"/>
                <w:szCs w:val="24"/>
                <w:highlight w:val="none"/>
                <w:lang w:val="en-US" w:eastAsia="zh-CN"/>
              </w:rPr>
              <w:t>0529512</w:t>
            </w:r>
          </w:p>
          <w:p>
            <w:pPr>
              <w:ind w:firstLine="482" w:firstLineChars="200"/>
              <w:rPr>
                <w:rFonts w:hint="eastAsia"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邮箱：</w:t>
            </w:r>
            <w:r>
              <w:rPr>
                <w:rFonts w:hint="eastAsia" w:ascii="宋体" w:hAnsi="宋体" w:eastAsia="宋体" w:cs="宋体"/>
                <w:bCs/>
                <w:snapToGrid w:val="0"/>
                <w:kern w:val="0"/>
                <w:sz w:val="24"/>
                <w:szCs w:val="24"/>
                <w:highlight w:val="none"/>
                <w:lang w:val="en-US" w:eastAsia="zh-CN"/>
              </w:rPr>
              <w:t>liyue1</w:t>
            </w:r>
            <w:r>
              <w:rPr>
                <w:rFonts w:hint="eastAsia" w:ascii="宋体" w:hAnsi="宋体" w:eastAsia="宋体" w:cs="宋体"/>
                <w:bCs/>
                <w:snapToGrid w:val="0"/>
                <w:kern w:val="0"/>
                <w:sz w:val="24"/>
                <w:szCs w:val="24"/>
                <w:highlight w:val="none"/>
              </w:rPr>
              <w:t>@sinotruk.com</w:t>
            </w:r>
          </w:p>
          <w:p>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lang w:val="en-US" w:eastAsia="zh-CN"/>
              </w:rPr>
              <w:t>技术</w:t>
            </w:r>
            <w:r>
              <w:rPr>
                <w:rFonts w:hint="eastAsia" w:ascii="宋体" w:hAnsi="宋体" w:eastAsia="宋体" w:cs="宋体"/>
                <w:b/>
                <w:snapToGrid w:val="0"/>
                <w:kern w:val="0"/>
                <w:sz w:val="24"/>
                <w:szCs w:val="24"/>
                <w:highlight w:val="none"/>
              </w:rPr>
              <w:t>联系人：</w:t>
            </w:r>
            <w:r>
              <w:rPr>
                <w:rFonts w:hint="eastAsia" w:ascii="宋体" w:hAnsi="宋体" w:eastAsia="宋体" w:cs="宋体"/>
                <w:b/>
                <w:snapToGrid w:val="0"/>
                <w:kern w:val="0"/>
                <w:sz w:val="24"/>
                <w:szCs w:val="24"/>
                <w:highlight w:val="none"/>
                <w:lang w:val="en-US" w:eastAsia="zh-CN"/>
              </w:rPr>
              <w:t>王太镇、姚树寅</w:t>
            </w:r>
            <w:r>
              <w:rPr>
                <w:rFonts w:hint="eastAsia" w:ascii="宋体" w:hAnsi="宋体" w:eastAsia="宋体" w:cs="宋体"/>
                <w:b/>
                <w:snapToGrid w:val="0"/>
                <w:kern w:val="0"/>
                <w:sz w:val="24"/>
                <w:szCs w:val="24"/>
                <w:highlight w:val="none"/>
              </w:rPr>
              <w:t xml:space="preserve">    </w:t>
            </w:r>
          </w:p>
          <w:p>
            <w:pPr>
              <w:pStyle w:val="19"/>
              <w:ind w:firstLine="482" w:firstLineChars="200"/>
              <w:rPr>
                <w:rFonts w:hint="eastAsia" w:eastAsia="宋体"/>
                <w:highlight w:val="none"/>
                <w:lang w:eastAsia="zh-CN"/>
              </w:rPr>
            </w:pPr>
            <w:r>
              <w:rPr>
                <w:rFonts w:hint="eastAsia" w:hAnsi="宋体" w:eastAsia="宋体" w:cs="宋体"/>
                <w:b/>
                <w:snapToGrid w:val="0"/>
                <w:kern w:val="0"/>
                <w:sz w:val="24"/>
                <w:szCs w:val="24"/>
                <w:highlight w:val="none"/>
              </w:rPr>
              <w:t>电话：</w:t>
            </w:r>
            <w:r>
              <w:rPr>
                <w:rFonts w:hint="eastAsia" w:ascii="宋体" w:hAnsi="宋体" w:eastAsia="宋体" w:cs="宋体"/>
                <w:b/>
                <w:snapToGrid w:val="0"/>
                <w:kern w:val="0"/>
                <w:sz w:val="24"/>
                <w:szCs w:val="24"/>
                <w:highlight w:val="none"/>
              </w:rPr>
              <w:t>17852032320</w:t>
            </w:r>
            <w:r>
              <w:rPr>
                <w:rFonts w:hint="eastAsia" w:hAnsi="宋体" w:eastAsia="宋体" w:cs="宋体"/>
                <w:b/>
                <w:snapToGrid w:val="0"/>
                <w:kern w:val="0"/>
                <w:sz w:val="24"/>
                <w:szCs w:val="24"/>
                <w:highlight w:val="none"/>
                <w:lang w:eastAsia="zh-CN"/>
              </w:rPr>
              <w:t>、18753155919</w:t>
            </w:r>
          </w:p>
          <w:p>
            <w:pPr>
              <w:ind w:firstLine="482" w:firstLineChars="200"/>
              <w:rPr>
                <w:rFonts w:hint="eastAsia" w:ascii="宋体" w:hAnsi="宋体" w:eastAsia="宋体" w:cs="宋体"/>
                <w:bCs/>
                <w:snapToGrid w:val="0"/>
                <w:kern w:val="0"/>
                <w:sz w:val="24"/>
                <w:szCs w:val="24"/>
                <w:highlight w:val="none"/>
                <w:lang w:eastAsia="zh-CN"/>
              </w:rPr>
            </w:pPr>
            <w:r>
              <w:rPr>
                <w:rFonts w:hint="eastAsia" w:ascii="宋体" w:hAnsi="宋体" w:eastAsia="宋体" w:cs="宋体"/>
                <w:b/>
                <w:snapToGrid w:val="0"/>
                <w:kern w:val="0"/>
                <w:sz w:val="24"/>
                <w:szCs w:val="24"/>
                <w:highlight w:val="none"/>
              </w:rPr>
              <w:t>邮箱：wangtaizhen@sinotruk.com</w:t>
            </w:r>
            <w:r>
              <w:rPr>
                <w:rFonts w:hint="eastAsia" w:ascii="宋体" w:hAnsi="宋体" w:eastAsia="宋体" w:cs="宋体"/>
                <w:b/>
                <w:snapToGrid w:val="0"/>
                <w:kern w:val="0"/>
                <w:sz w:val="24"/>
                <w:szCs w:val="24"/>
                <w:highlight w:val="none"/>
                <w:lang w:eastAsia="zh-CN"/>
              </w:rPr>
              <w:t>、yaoshuyin@sinotruk.com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资金来源：</w:t>
            </w:r>
            <w:r>
              <w:rPr>
                <w:rFonts w:hint="eastAsia" w:ascii="宋体" w:hAnsi="宋体" w:eastAsia="宋体" w:cs="宋体"/>
                <w:kern w:val="0"/>
                <w:sz w:val="24"/>
                <w:szCs w:val="24"/>
                <w:highlight w:val="none"/>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Times New Roman"/>
                <w:color w:val="000000"/>
                <w:sz w:val="24"/>
                <w:szCs w:val="24"/>
                <w:highlight w:val="none"/>
              </w:rPr>
            </w:pPr>
            <w:r>
              <w:rPr>
                <w:rFonts w:hint="eastAsia" w:ascii="宋体" w:hAnsi="宋体" w:eastAsia="宋体" w:cs="宋体"/>
                <w:b/>
                <w:bCs/>
                <w:sz w:val="24"/>
                <w:szCs w:val="24"/>
                <w:highlight w:val="none"/>
              </w:rPr>
              <w:t>报价：</w:t>
            </w:r>
            <w:r>
              <w:rPr>
                <w:rFonts w:hint="eastAsia" w:ascii="宋体" w:hAnsi="宋体" w:eastAsia="宋体" w:cs="宋体"/>
                <w:sz w:val="24"/>
                <w:szCs w:val="24"/>
                <w:highlight w:val="none"/>
              </w:rPr>
              <w:t>如需要，由</w:t>
            </w:r>
            <w:r>
              <w:rPr>
                <w:rFonts w:hint="eastAsia" w:ascii="宋体" w:hAnsi="宋体" w:eastAsia="宋体" w:cs="Times New Roman"/>
                <w:color w:val="000000"/>
                <w:sz w:val="24"/>
                <w:szCs w:val="24"/>
                <w:highlight w:val="none"/>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pPr>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报价货币：</w:t>
            </w:r>
            <w:r>
              <w:rPr>
                <w:rFonts w:hint="eastAsia" w:ascii="宋体" w:hAnsi="宋体" w:eastAsia="宋体" w:cs="Times New Roman"/>
                <w:color w:val="000000"/>
                <w:sz w:val="24"/>
                <w:szCs w:val="24"/>
                <w:highlight w:val="none"/>
              </w:rPr>
              <w:t>人民币（</w:t>
            </w:r>
            <w:r>
              <w:rPr>
                <w:rFonts w:hint="eastAsia" w:ascii="宋体" w:hAnsi="宋体" w:eastAsia="宋体" w:cs="Times New Roman"/>
                <w:b/>
                <w:bCs/>
                <w:color w:val="000000"/>
                <w:sz w:val="24"/>
                <w:szCs w:val="24"/>
                <w:highlight w:val="none"/>
              </w:rPr>
              <w:t>应同时报含税价和不含税价，写明税率</w:t>
            </w:r>
            <w:r>
              <w:rPr>
                <w:rFonts w:hint="eastAsia" w:ascii="宋体" w:hAnsi="宋体" w:eastAsia="宋体" w:cs="Times New Roman"/>
                <w:color w:val="000000"/>
                <w:sz w:val="24"/>
                <w:szCs w:val="24"/>
                <w:highlight w:val="none"/>
              </w:rPr>
              <w:t>）。</w:t>
            </w:r>
          </w:p>
          <w:p>
            <w:pPr>
              <w:pStyle w:val="19"/>
              <w:ind w:firstLine="482" w:firstLineChars="200"/>
              <w:rPr>
                <w:rFonts w:eastAsia="宋体"/>
                <w:highlight w:val="none"/>
              </w:rPr>
            </w:pPr>
            <w:r>
              <w:rPr>
                <w:rFonts w:hint="eastAsia" w:hAnsi="宋体" w:eastAsia="宋体" w:cs="Times New Roman"/>
                <w:b/>
                <w:bCs/>
                <w:color w:val="000000"/>
                <w:sz w:val="24"/>
                <w:szCs w:val="24"/>
                <w:highlight w:val="none"/>
              </w:rPr>
              <w:t>投标限价</w:t>
            </w:r>
            <w:r>
              <w:rPr>
                <w:rFonts w:hint="eastAsia" w:hAnsi="宋体" w:eastAsia="宋体" w:cs="Times New Roman"/>
                <w:color w:val="000000"/>
                <w:sz w:val="24"/>
                <w:szCs w:val="24"/>
                <w:highlight w:val="none"/>
              </w:rPr>
              <w:t>：</w:t>
            </w:r>
            <w:r>
              <w:rPr>
                <w:rFonts w:hint="eastAsia" w:hAnsi="宋体" w:eastAsia="宋体" w:cs="Times New Roman"/>
                <w:color w:val="000000"/>
                <w:sz w:val="24"/>
                <w:szCs w:val="24"/>
                <w:highlight w:val="yellow"/>
              </w:rPr>
              <w:t>人民币</w:t>
            </w:r>
            <w:r>
              <w:rPr>
                <w:rFonts w:hint="eastAsia" w:hAnsi="宋体" w:eastAsia="宋体" w:cs="Times New Roman"/>
                <w:color w:val="000000"/>
                <w:sz w:val="24"/>
                <w:szCs w:val="24"/>
                <w:highlight w:val="yellow"/>
                <w:lang w:val="en-US" w:eastAsia="zh-CN"/>
              </w:rPr>
              <w:t>120.94</w:t>
            </w:r>
            <w:r>
              <w:rPr>
                <w:rFonts w:hint="eastAsia" w:hAnsi="宋体" w:eastAsia="宋体" w:cs="Times New Roman"/>
                <w:color w:val="000000"/>
                <w:sz w:val="24"/>
                <w:szCs w:val="24"/>
                <w:highlight w:val="yellow"/>
              </w:rPr>
              <w:t>万元</w:t>
            </w:r>
            <w:r>
              <w:rPr>
                <w:rFonts w:hint="eastAsia" w:hAnsi="宋体" w:eastAsia="宋体" w:cs="Times New Roman"/>
                <w:color w:val="000000"/>
                <w:sz w:val="24"/>
                <w:szCs w:val="24"/>
                <w:highlight w:val="none"/>
              </w:rPr>
              <w:t>（含税，税率13%），超过投标限价无法投标。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19"/>
              <w:ind w:firstLine="482" w:firstLineChars="200"/>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t>投标人条件：</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拟投标人必须是在中华人民共和国境内注册的独立法人机构，具有独立承担民事责任能力；注册资金不少于300万人民币（或等值其他货币）；公司成立五年及以上（以营业执照成立日期到开标当日满五年为准），且经营范围满足招标人需求；并在人员、设备、资金等方面具有承担本项目的能力；投标人为该标的物的制造商或其在中国境内有完善的技术以及售后服务体系；投标人为代理商的须具有制造商出具的授权书或经销代理证明以及售后服务承诺；</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2.拟投标人应提供营业执照副本原件和扫描件（需盖章）；</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3.拟投标人应提供法定代表人资格证明文件；</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4.拟投标人在国家市场监督管理总局的《国家企业信用信息公示系统》等信息平台中，无行政处罚及失信记录等信息；</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5.拟投标人不存在严重违规或被列入招标人“黑名单”的声明；</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6.拟投标人应提供2022年1月1日至今经会计师事务所审计且出具无保留意见的财务审计报告，并加盖公章，（如投标人公司没有经审计的财务报告，可提供加盖公章的近三年财务报表，包括但不限于资产负债表、损益表、现金流量表），且未显示异常；</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7.拟投标人近3年（2022年1月1日至采购截止时间，以销售合同签订时间为准）所投标段同类业绩。须提供中标通知书（如有）、合同协议书复印件（须包含合同标的、金额、签字盖章等关键页）、发票等相关证明材料，且近2年内无因服务不当而造成重大事故；</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8.拟投标人近三年内在经营活动中无与本项目有关的违法及重大违规情况；</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9.投标人须认可招标人的工作指令，包括节假日能正常开展工作的要求；</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10.投标人最近半年纳税正常；投标人信用证明材料（征信报告）未显示异常；投标人没有被我公司列入黑名单；</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11.投标方的直接或间接股东、法定代表人、董事、监事、高管非重汽员工及其亲属；</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12.如为代理商投标，需获得生产厂家正式授权，提供授权书原件，保证提供原厂售后服务并提供原厂售后服务承诺书原件（包括所代理品牌针对项目的唯一授权书）。</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13.本项目不接受联合体投标，拟投标人必须是最终投标单位、签订合同单位，不得以任何形式分包或转包给其他单位；</w:t>
            </w:r>
          </w:p>
          <w:p>
            <w:pPr>
              <w:pStyle w:val="19"/>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14.与招标人存在利害关系可能影响招标公正性的法人、其他组织或者个人，不得参加投标。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发标时间：</w:t>
            </w:r>
            <w:r>
              <w:rPr>
                <w:rFonts w:hint="eastAsia" w:ascii="宋体" w:hAnsi="宋体" w:eastAsia="宋体" w:cs="宋体"/>
                <w:bCs/>
                <w:sz w:val="24"/>
                <w:szCs w:val="24"/>
                <w:highlight w:val="none"/>
              </w:rPr>
              <w:t>2025年</w:t>
            </w:r>
            <w:r>
              <w:rPr>
                <w:rFonts w:hint="eastAsia" w:ascii="宋体" w:hAnsi="宋体" w:eastAsia="宋体" w:cs="宋体"/>
                <w:bCs/>
                <w:sz w:val="24"/>
                <w:szCs w:val="24"/>
                <w:highlight w:val="none"/>
                <w:lang w:val="en-US" w:eastAsia="zh-CN"/>
              </w:rPr>
              <w:t>12</w:t>
            </w:r>
            <w:r>
              <w:rPr>
                <w:rFonts w:hint="eastAsia" w:ascii="宋体" w:hAnsi="宋体" w:eastAsia="宋体" w:cs="宋体"/>
                <w:bCs/>
                <w:sz w:val="24"/>
                <w:szCs w:val="24"/>
                <w:highlight w:val="none"/>
              </w:rPr>
              <w:t>月</w:t>
            </w:r>
            <w:r>
              <w:rPr>
                <w:rFonts w:hint="eastAsia" w:ascii="宋体" w:hAnsi="宋体" w:eastAsia="宋体" w:cs="宋体"/>
                <w:bCs/>
                <w:sz w:val="24"/>
                <w:szCs w:val="24"/>
                <w:highlight w:val="none"/>
                <w:lang w:val="en-US" w:eastAsia="zh-CN"/>
              </w:rPr>
              <w:t>18</w:t>
            </w:r>
            <w:r>
              <w:rPr>
                <w:rFonts w:hint="eastAsia" w:ascii="宋体" w:hAnsi="宋体" w:eastAsia="宋体" w:cs="宋体"/>
                <w:bCs/>
                <w:sz w:val="24"/>
                <w:szCs w:val="24"/>
                <w:highlight w:val="none"/>
              </w:rPr>
              <w:t>日</w:t>
            </w:r>
            <w:r>
              <w:rPr>
                <w:rFonts w:hint="eastAsia" w:ascii="宋体" w:hAnsi="宋体" w:eastAsia="宋体" w:cs="宋体"/>
                <w:bCs/>
                <w:sz w:val="24"/>
                <w:szCs w:val="24"/>
                <w:highlight w:val="none"/>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highlight w:val="none"/>
              </w:rPr>
            </w:pPr>
            <w:r>
              <w:rPr>
                <w:rFonts w:hint="eastAsia" w:ascii="宋体" w:hAnsi="宋体" w:eastAsia="宋体" w:cs="宋体"/>
                <w:b/>
                <w:sz w:val="24"/>
                <w:szCs w:val="24"/>
                <w:highlight w:val="none"/>
              </w:rPr>
              <w:t>发标方式：</w:t>
            </w:r>
            <w:r>
              <w:rPr>
                <w:rFonts w:hint="eastAsia" w:ascii="宋体" w:hAnsi="宋体" w:eastAsia="宋体" w:cs="宋体"/>
                <w:sz w:val="24"/>
                <w:szCs w:val="24"/>
                <w:highlight w:val="none"/>
              </w:rPr>
              <w:t>中国重汽官网等公开媒体公布。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ascii="宋体" w:hAnsi="宋体" w:eastAsia="宋体" w:cs="宋体"/>
                <w:sz w:val="24"/>
                <w:szCs w:val="24"/>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如果投标人对招标文件商务部分、技术部分有疑问，请各投标人在本答疑环节提出。</w:t>
            </w:r>
          </w:p>
          <w:p>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none"/>
              </w:rPr>
              <w:t>2025年</w:t>
            </w:r>
            <w:r>
              <w:rPr>
                <w:rFonts w:hint="eastAsia" w:ascii="宋体" w:hAnsi="宋体" w:eastAsia="宋体" w:cs="宋体"/>
                <w:bCs/>
                <w:sz w:val="24"/>
                <w:szCs w:val="24"/>
                <w:highlight w:val="none"/>
                <w:lang w:val="en-US" w:eastAsia="zh-CN"/>
              </w:rPr>
              <w:t>12</w:t>
            </w:r>
            <w:r>
              <w:rPr>
                <w:rFonts w:hint="eastAsia" w:ascii="宋体" w:hAnsi="宋体" w:eastAsia="宋体" w:cs="宋体"/>
                <w:bCs/>
                <w:sz w:val="24"/>
                <w:szCs w:val="24"/>
                <w:highlight w:val="none"/>
              </w:rPr>
              <w:t>月</w:t>
            </w:r>
            <w:r>
              <w:rPr>
                <w:rFonts w:hint="eastAsia" w:ascii="宋体" w:hAnsi="宋体" w:eastAsia="宋体" w:cs="宋体"/>
                <w:bCs/>
                <w:sz w:val="24"/>
                <w:szCs w:val="24"/>
                <w:highlight w:val="none"/>
                <w:lang w:val="en-US" w:eastAsia="zh-CN"/>
              </w:rPr>
              <w:t>23</w:t>
            </w:r>
            <w:r>
              <w:rPr>
                <w:rFonts w:hint="eastAsia" w:ascii="宋体" w:hAnsi="宋体" w:eastAsia="宋体" w:cs="宋体"/>
                <w:bCs/>
                <w:sz w:val="24"/>
                <w:szCs w:val="24"/>
                <w:highlight w:val="none"/>
              </w:rPr>
              <w:t>日1</w:t>
            </w:r>
            <w:r>
              <w:rPr>
                <w:rFonts w:hint="eastAsia" w:ascii="宋体" w:hAnsi="宋体" w:eastAsia="宋体" w:cs="宋体"/>
                <w:bCs/>
                <w:sz w:val="24"/>
                <w:szCs w:val="24"/>
                <w:highlight w:val="none"/>
                <w:lang w:val="en-US" w:eastAsia="zh-CN"/>
              </w:rPr>
              <w:t>7</w:t>
            </w:r>
            <w:r>
              <w:rPr>
                <w:rFonts w:hint="eastAsia" w:ascii="宋体" w:hAnsi="宋体" w:eastAsia="宋体" w:cs="宋体"/>
                <w:bCs/>
                <w:sz w:val="24"/>
                <w:szCs w:val="24"/>
                <w:highlight w:val="none"/>
              </w:rPr>
              <w:t>:00前；</w:t>
            </w:r>
          </w:p>
          <w:p>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：将答疑问题以word文件格式发送至联系人邮件内，并电话联系工作人员查收，</w:t>
            </w:r>
            <w:r>
              <w:rPr>
                <w:rFonts w:hint="eastAsia" w:ascii="宋体" w:hAnsi="宋体" w:eastAsia="宋体" w:cs="宋体"/>
                <w:b/>
                <w:bCs/>
                <w:sz w:val="24"/>
                <w:szCs w:val="24"/>
                <w:highlight w:val="none"/>
              </w:rPr>
              <w:t>邮件名格式为：XXX公司（五个字以内公司简称）XX项目答疑文件。</w:t>
            </w:r>
          </w:p>
          <w:p>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highlight w:val="none"/>
              </w:rPr>
              <w:t>法定代表人授权委托书</w:t>
            </w:r>
            <w:r>
              <w:rPr>
                <w:rFonts w:hint="eastAsia" w:ascii="宋体" w:hAnsi="宋体" w:eastAsia="宋体" w:cs="宋体"/>
                <w:b/>
                <w:bCs/>
                <w:sz w:val="24"/>
                <w:szCs w:val="24"/>
                <w:highlight w:val="none"/>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领取答疑、澄清和修改文件时间：2025年</w:t>
            </w:r>
            <w:r>
              <w:rPr>
                <w:rFonts w:hint="eastAsia" w:ascii="宋体" w:hAnsi="宋体" w:eastAsia="宋体" w:cs="宋体"/>
                <w:sz w:val="24"/>
                <w:szCs w:val="24"/>
                <w:highlight w:val="none"/>
                <w:lang w:val="en-US" w:eastAsia="zh-CN"/>
              </w:rPr>
              <w:t>12</w:t>
            </w:r>
            <w:r>
              <w:rPr>
                <w:rFonts w:hint="eastAsia" w:ascii="宋体" w:hAnsi="宋体" w:eastAsia="宋体" w:cs="宋体"/>
                <w:sz w:val="24"/>
                <w:szCs w:val="24"/>
                <w:highlight w:val="none"/>
              </w:rPr>
              <w:t>月</w:t>
            </w:r>
            <w:r>
              <w:rPr>
                <w:rFonts w:hint="eastAsia" w:ascii="宋体" w:hAnsi="宋体" w:eastAsia="宋体" w:cs="宋体"/>
                <w:sz w:val="24"/>
                <w:szCs w:val="24"/>
                <w:highlight w:val="none"/>
                <w:lang w:val="en-US" w:eastAsia="zh-CN"/>
              </w:rPr>
              <w:t>23</w:t>
            </w:r>
            <w:r>
              <w:rPr>
                <w:rFonts w:hint="eastAsia" w:ascii="宋体" w:hAnsi="宋体" w:eastAsia="宋体" w:cs="宋体"/>
                <w:sz w:val="24"/>
                <w:szCs w:val="24"/>
                <w:highlight w:val="none"/>
              </w:rPr>
              <w:t>日17:00前；</w:t>
            </w:r>
          </w:p>
          <w:p>
            <w:pPr>
              <w:shd w:val="clear" w:color="auto"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b/>
                <w:bCs/>
                <w:sz w:val="24"/>
                <w:szCs w:val="24"/>
                <w:highlight w:val="none"/>
              </w:rPr>
            </w:pPr>
            <w:r>
              <w:rPr>
                <w:rFonts w:hint="eastAsia" w:ascii="宋体" w:hAnsi="宋体" w:eastAsia="宋体" w:cs="宋体"/>
                <w:sz w:val="24"/>
                <w:szCs w:val="24"/>
                <w:highlight w:val="none"/>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9"/>
              <w:spacing w:line="240" w:lineRule="auto"/>
              <w:ind w:firstLine="482"/>
              <w:rPr>
                <w:rFonts w:eastAsia="宋体" w:cs="宋体"/>
                <w:b/>
                <w:bCs/>
                <w:highlight w:val="none"/>
              </w:rPr>
            </w:pPr>
            <w:r>
              <w:rPr>
                <w:rFonts w:hint="eastAsia" w:eastAsia="宋体" w:cs="宋体"/>
                <w:b/>
                <w:bCs/>
                <w:highlight w:val="none"/>
              </w:rPr>
              <w:t>报名方式：</w:t>
            </w:r>
            <w:r>
              <w:rPr>
                <w:rFonts w:hint="eastAsia" w:eastAsia="宋体" w:cs="宋体"/>
                <w:highlight w:val="none"/>
              </w:rPr>
              <w:t>拟投标人根据招标人在中国重汽官网等公开媒体上发布的招标信息，</w:t>
            </w:r>
            <w:r>
              <w:rPr>
                <w:rFonts w:hint="eastAsia" w:hAnsi="Courier New" w:eastAsia="宋体" w:cs="Times New Roman"/>
                <w:highlight w:val="none"/>
              </w:rPr>
              <w:t>在“中国重汽e采通”平台报名</w:t>
            </w:r>
            <w:r>
              <w:rPr>
                <w:rFonts w:hint="eastAsia" w:eastAsia="宋体" w:cs="宋体"/>
                <w:highlight w:val="none"/>
              </w:rPr>
              <w:t>。</w:t>
            </w:r>
            <w:r>
              <w:rPr>
                <w:rFonts w:hint="eastAsia" w:eastAsia="宋体" w:cs="Times New Roman"/>
                <w:b/>
                <w:bCs/>
                <w:highlight w:val="none"/>
              </w:rPr>
              <w:t>按照中国重汽e采通“SRM非生产供应商注册手册”（附件15）进行注册</w:t>
            </w:r>
            <w:r>
              <w:rPr>
                <w:rFonts w:hint="eastAsia" w:eastAsia="宋体" w:cs="Times New Roman"/>
                <w:highlight w:val="none"/>
              </w:rPr>
              <w:t>，注册完毕后按照</w:t>
            </w:r>
            <w:r>
              <w:rPr>
                <w:rFonts w:hint="eastAsia" w:eastAsia="宋体" w:cs="宋体"/>
                <w:b/>
                <w:highlight w:val="none"/>
              </w:rPr>
              <w:t>“SRM系统供应商用户手册（附件16）”，</w:t>
            </w:r>
            <w:r>
              <w:rPr>
                <w:rFonts w:hint="eastAsia" w:eastAsia="宋体" w:cs="Times New Roman"/>
                <w:highlight w:val="none"/>
              </w:rPr>
              <w:t>登录</w:t>
            </w:r>
            <w:r>
              <w:rPr>
                <w:rFonts w:hint="eastAsia" w:eastAsia="宋体" w:cs="宋体"/>
                <w:b/>
                <w:highlight w:val="none"/>
              </w:rPr>
              <w:t>重汽e采通平台</w:t>
            </w:r>
            <w:r>
              <w:rPr>
                <w:rFonts w:hint="eastAsia" w:eastAsia="宋体" w:cs="Times New Roman"/>
                <w:highlight w:val="none"/>
              </w:rPr>
              <w:t>后进入“供应商应标”，选择对应的项目，点击“</w:t>
            </w:r>
            <w:r>
              <w:rPr>
                <w:rFonts w:hint="eastAsia" w:eastAsia="宋体" w:cs="Times New Roman"/>
                <w:b/>
                <w:bCs/>
                <w:highlight w:val="none"/>
              </w:rPr>
              <w:t>应标</w:t>
            </w:r>
            <w:r>
              <w:rPr>
                <w:rFonts w:hint="eastAsia" w:eastAsia="宋体" w:cs="Times New Roman"/>
                <w:highlight w:val="none"/>
              </w:rPr>
              <w:t>”</w:t>
            </w:r>
            <w:r>
              <w:rPr>
                <w:rFonts w:hint="eastAsia" w:eastAsia="宋体" w:cs="Times New Roman"/>
                <w:b/>
                <w:bCs/>
                <w:highlight w:val="none"/>
              </w:rPr>
              <w:t>后按照招标文件第三部分投标文件组成资格证明文件中的1.1</w:t>
            </w:r>
            <w:r>
              <w:rPr>
                <w:rFonts w:eastAsia="宋体" w:cs="Times New Roman"/>
                <w:b/>
                <w:bCs/>
                <w:highlight w:val="none"/>
              </w:rPr>
              <w:t>-</w:t>
            </w:r>
            <w:r>
              <w:rPr>
                <w:rFonts w:hint="eastAsia" w:eastAsia="宋体" w:cs="Times New Roman"/>
                <w:b/>
                <w:bCs/>
                <w:highlight w:val="none"/>
              </w:rPr>
              <w:t>1.13准备资料并</w:t>
            </w:r>
            <w:r>
              <w:rPr>
                <w:rFonts w:hint="eastAsia" w:eastAsia="宋体" w:cs="Times New Roman"/>
                <w:highlight w:val="none"/>
              </w:rPr>
              <w:t>上传，资质审查通过即为报名成功</w:t>
            </w:r>
            <w:r>
              <w:rPr>
                <w:rFonts w:hint="eastAsia" w:hAnsi="Courier New" w:eastAsia="宋体" w:cs="Times New Roman"/>
                <w:highlight w:val="none"/>
              </w:rPr>
              <w:t>；公示期间请尽快报名</w:t>
            </w:r>
            <w:r>
              <w:rPr>
                <w:rFonts w:hint="eastAsia" w:eastAsia="宋体" w:cs="宋体"/>
                <w:highlight w:val="none"/>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9"/>
              <w:spacing w:line="240" w:lineRule="auto"/>
              <w:ind w:firstLine="482"/>
              <w:rPr>
                <w:rFonts w:eastAsia="宋体" w:cs="宋体"/>
                <w:highlight w:val="none"/>
              </w:rPr>
            </w:pPr>
            <w:r>
              <w:rPr>
                <w:rFonts w:hint="eastAsia" w:eastAsia="宋体" w:cs="宋体"/>
                <w:b/>
                <w:bCs/>
                <w:highlight w:val="none"/>
              </w:rPr>
              <w:t>应标截止时间：</w:t>
            </w:r>
            <w:r>
              <w:rPr>
                <w:rFonts w:hint="eastAsia" w:eastAsia="宋体" w:cs="宋体"/>
                <w:highlight w:val="none"/>
              </w:rPr>
              <w:t>2025年</w:t>
            </w:r>
            <w:r>
              <w:rPr>
                <w:rFonts w:hint="eastAsia" w:eastAsia="宋体" w:cs="宋体"/>
                <w:highlight w:val="none"/>
                <w:lang w:val="en-US" w:eastAsia="zh-CN"/>
              </w:rPr>
              <w:t>12</w:t>
            </w:r>
            <w:r>
              <w:rPr>
                <w:rFonts w:hint="eastAsia" w:eastAsia="宋体" w:cs="宋体"/>
                <w:highlight w:val="none"/>
              </w:rPr>
              <w:t>月</w:t>
            </w:r>
            <w:r>
              <w:rPr>
                <w:rFonts w:hint="eastAsia" w:eastAsia="宋体" w:cs="宋体"/>
                <w:highlight w:val="none"/>
                <w:lang w:val="en-US" w:eastAsia="zh-CN"/>
              </w:rPr>
              <w:t>23</w:t>
            </w:r>
            <w:r>
              <w:rPr>
                <w:rFonts w:hint="eastAsia" w:eastAsia="宋体" w:cs="宋体"/>
                <w:highlight w:val="none"/>
              </w:rPr>
              <w:t>日17时00分00秒</w:t>
            </w:r>
          </w:p>
          <w:p>
            <w:pPr>
              <w:pStyle w:val="119"/>
              <w:spacing w:line="240" w:lineRule="auto"/>
              <w:ind w:firstLine="482"/>
              <w:rPr>
                <w:rFonts w:eastAsia="宋体" w:cs="宋体"/>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bCs/>
                <w:sz w:val="24"/>
                <w:szCs w:val="24"/>
                <w:highlight w:val="none"/>
              </w:rPr>
            </w:pPr>
            <w:r>
              <w:rPr>
                <w:rFonts w:hint="eastAsia" w:eastAsia="宋体" w:cs="宋体"/>
                <w:bCs/>
                <w:sz w:val="24"/>
                <w:szCs w:val="24"/>
                <w:highlight w:val="none"/>
              </w:rPr>
              <w:t>本项目投标文件分为</w:t>
            </w:r>
            <w:r>
              <w:rPr>
                <w:rFonts w:hint="eastAsia" w:eastAsia="宋体" w:cs="宋体"/>
                <w:b/>
                <w:sz w:val="24"/>
                <w:szCs w:val="24"/>
                <w:highlight w:val="none"/>
              </w:rPr>
              <w:t>纸质版</w:t>
            </w:r>
            <w:r>
              <w:rPr>
                <w:rFonts w:hint="eastAsia" w:eastAsia="宋体" w:cs="宋体"/>
                <w:bCs/>
                <w:sz w:val="24"/>
                <w:szCs w:val="24"/>
                <w:highlight w:val="none"/>
              </w:rPr>
              <w:t>投标文件和</w:t>
            </w:r>
            <w:r>
              <w:rPr>
                <w:rFonts w:hint="eastAsia" w:eastAsia="宋体" w:cs="宋体"/>
                <w:b/>
                <w:sz w:val="24"/>
                <w:szCs w:val="24"/>
                <w:highlight w:val="none"/>
              </w:rPr>
              <w:t>电子版</w:t>
            </w:r>
            <w:r>
              <w:rPr>
                <w:rFonts w:hint="eastAsia" w:eastAsia="宋体" w:cs="宋体"/>
                <w:bCs/>
                <w:sz w:val="24"/>
                <w:szCs w:val="24"/>
                <w:highlight w:val="none"/>
              </w:rPr>
              <w:t>投标文件（电子版为纸质盖章版的扫描件），均由</w:t>
            </w:r>
            <w:r>
              <w:rPr>
                <w:rFonts w:hint="eastAsia" w:eastAsia="宋体" w:cs="宋体"/>
                <w:b/>
                <w:sz w:val="24"/>
                <w:szCs w:val="24"/>
                <w:highlight w:val="none"/>
              </w:rPr>
              <w:t>《投标文件（资质标）》、《投标文件（技术标）》、《投标文件（商务标）》（开标一览表）</w:t>
            </w:r>
            <w:r>
              <w:rPr>
                <w:rFonts w:hint="eastAsia" w:eastAsia="宋体" w:cs="宋体"/>
                <w:bCs/>
                <w:sz w:val="24"/>
                <w:szCs w:val="24"/>
                <w:highlight w:val="none"/>
              </w:rPr>
              <w:t>文件组成，共计3个文件</w:t>
            </w:r>
            <w:r>
              <w:rPr>
                <w:rFonts w:hint="eastAsia" w:ascii="宋体" w:hAnsi="宋体" w:eastAsia="宋体" w:cs="宋体"/>
                <w:bCs/>
                <w:sz w:val="24"/>
                <w:szCs w:val="24"/>
                <w:highlight w:val="none"/>
              </w:rPr>
              <w:t>。</w:t>
            </w:r>
          </w:p>
          <w:p>
            <w:pPr>
              <w:ind w:firstLine="482" w:firstLineChars="200"/>
              <w:rPr>
                <w:rFonts w:ascii="宋体" w:hAnsi="宋体" w:eastAsia="宋体" w:cs="宋体"/>
                <w:b/>
                <w:sz w:val="24"/>
                <w:szCs w:val="24"/>
                <w:highlight w:val="none"/>
              </w:rPr>
            </w:pPr>
            <w:r>
              <w:rPr>
                <w:rFonts w:hint="eastAsia" w:eastAsia="宋体" w:cs="宋体"/>
                <w:b/>
                <w:sz w:val="24"/>
                <w:szCs w:val="24"/>
                <w:highlight w:val="none"/>
              </w:rPr>
              <w:t>《投标文件（资质标）》</w:t>
            </w:r>
            <w:r>
              <w:rPr>
                <w:rFonts w:hint="eastAsia" w:ascii="宋体" w:hAnsi="宋体" w:eastAsia="宋体" w:cs="宋体"/>
                <w:bCs/>
                <w:sz w:val="24"/>
                <w:szCs w:val="24"/>
                <w:highlight w:val="none"/>
              </w:rPr>
              <w:t>一个文件（里面是全部资质投标书），</w:t>
            </w:r>
            <w:r>
              <w:rPr>
                <w:rFonts w:hint="eastAsia" w:eastAsia="宋体" w:cs="宋体"/>
                <w:b/>
                <w:sz w:val="24"/>
                <w:szCs w:val="24"/>
                <w:highlight w:val="none"/>
              </w:rPr>
              <w:t>投标文件（技术标）》</w:t>
            </w:r>
            <w:r>
              <w:rPr>
                <w:rFonts w:hint="eastAsia" w:ascii="宋体" w:hAnsi="宋体" w:eastAsia="宋体" w:cs="宋体"/>
                <w:bCs/>
                <w:sz w:val="24"/>
                <w:szCs w:val="24"/>
                <w:highlight w:val="none"/>
              </w:rPr>
              <w:t>一个文件（里面是全部技术投标书），</w:t>
            </w:r>
            <w:r>
              <w:rPr>
                <w:rFonts w:hint="eastAsia" w:eastAsia="宋体" w:cs="宋体"/>
                <w:b/>
                <w:sz w:val="24"/>
                <w:szCs w:val="24"/>
                <w:highlight w:val="none"/>
              </w:rPr>
              <w:t>《投标文件（商务标）》（开标一览表）</w:t>
            </w:r>
            <w:r>
              <w:rPr>
                <w:rFonts w:hint="eastAsia" w:ascii="宋体" w:hAnsi="宋体" w:eastAsia="宋体" w:cs="宋体"/>
                <w:bCs/>
                <w:sz w:val="24"/>
                <w:szCs w:val="24"/>
                <w:highlight w:val="none"/>
              </w:rPr>
              <w:t>一个文件（里面是全部商务投标书），</w:t>
            </w:r>
            <w:r>
              <w:rPr>
                <w:rFonts w:hint="eastAsia" w:ascii="宋体" w:hAnsi="宋体" w:eastAsia="宋体" w:cs="宋体"/>
                <w:b/>
                <w:sz w:val="24"/>
                <w:szCs w:val="24"/>
                <w:highlight w:val="none"/>
              </w:rPr>
              <w:t>具体组成等详细要求见招标文件第三部分投标文件编制第三条。</w:t>
            </w:r>
          </w:p>
          <w:p>
            <w:pPr>
              <w:ind w:firstLine="480" w:firstLineChars="200"/>
              <w:rPr>
                <w:rFonts w:ascii="宋体" w:hAnsi="宋体" w:eastAsia="宋体" w:cs="宋体"/>
                <w:sz w:val="24"/>
                <w:szCs w:val="24"/>
                <w:highlight w:val="none"/>
              </w:rPr>
            </w:pPr>
            <w:r>
              <w:rPr>
                <w:rFonts w:hint="eastAsia" w:ascii="宋体" w:hAnsi="宋体" w:eastAsia="宋体" w:cs="宋体"/>
                <w:bCs/>
                <w:color w:val="000000"/>
                <w:sz w:val="24"/>
                <w:szCs w:val="24"/>
                <w:highlight w:val="none"/>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eastAsia="宋体" w:cs="宋体"/>
                <w:bCs/>
                <w:sz w:val="24"/>
                <w:szCs w:val="24"/>
                <w:highlight w:val="none"/>
              </w:rPr>
            </w:pPr>
            <w:r>
              <w:rPr>
                <w:rFonts w:hint="eastAsia" w:eastAsia="宋体" w:cs="宋体"/>
                <w:b/>
                <w:sz w:val="24"/>
                <w:szCs w:val="24"/>
                <w:highlight w:val="none"/>
              </w:rPr>
              <w:t>投标方式：在中国重汽e采通平台应标成功后，进入“供应商投标”环节，投递盖章扫描版电子标书（包含资质标书、技术标书、商务标书），</w:t>
            </w:r>
            <w:r>
              <w:rPr>
                <w:rFonts w:ascii="宋体" w:hAnsi="宋体" w:eastAsia="宋体" w:cs="宋体"/>
                <w:sz w:val="24"/>
                <w:szCs w:val="24"/>
                <w:highlight w:val="none"/>
              </w:rPr>
              <w:t>若逾期未</w:t>
            </w:r>
            <w:r>
              <w:rPr>
                <w:rFonts w:hint="eastAsia" w:ascii="宋体" w:hAnsi="宋体" w:eastAsia="宋体" w:cs="宋体"/>
                <w:sz w:val="24"/>
                <w:szCs w:val="24"/>
                <w:highlight w:val="none"/>
              </w:rPr>
              <w:t>在中国</w:t>
            </w:r>
            <w:r>
              <w:rPr>
                <w:rFonts w:ascii="宋体" w:hAnsi="宋体" w:eastAsia="宋体" w:cs="宋体"/>
                <w:sz w:val="24"/>
                <w:szCs w:val="24"/>
                <w:highlight w:val="none"/>
              </w:rPr>
              <w:t>重汽e采通</w:t>
            </w:r>
            <w:r>
              <w:rPr>
                <w:rFonts w:hint="eastAsia" w:ascii="宋体" w:hAnsi="宋体" w:eastAsia="宋体" w:cs="宋体"/>
                <w:sz w:val="24"/>
                <w:szCs w:val="24"/>
                <w:highlight w:val="none"/>
              </w:rPr>
              <w:t>平台</w:t>
            </w:r>
            <w:r>
              <w:rPr>
                <w:rFonts w:ascii="宋体" w:hAnsi="宋体" w:eastAsia="宋体" w:cs="宋体"/>
                <w:sz w:val="24"/>
                <w:szCs w:val="24"/>
                <w:highlight w:val="none"/>
              </w:rPr>
              <w:t>上传</w:t>
            </w:r>
            <w:r>
              <w:rPr>
                <w:rFonts w:hint="eastAsia" w:ascii="宋体" w:hAnsi="宋体" w:eastAsia="宋体" w:cs="宋体"/>
                <w:sz w:val="24"/>
                <w:szCs w:val="24"/>
                <w:highlight w:val="none"/>
              </w:rPr>
              <w:t>电子</w:t>
            </w:r>
            <w:r>
              <w:rPr>
                <w:rFonts w:ascii="宋体" w:hAnsi="宋体" w:eastAsia="宋体" w:cs="宋体"/>
                <w:sz w:val="24"/>
                <w:szCs w:val="24"/>
                <w:highlight w:val="none"/>
              </w:rPr>
              <w:t>标书，即便递交了纸版投标文件，一律视为无效投标</w:t>
            </w:r>
            <w:r>
              <w:rPr>
                <w:rFonts w:hint="eastAsia" w:eastAsia="宋体" w:cs="宋体"/>
                <w:b/>
                <w:sz w:val="24"/>
                <w:szCs w:val="24"/>
                <w:highlight w:val="none"/>
              </w:rPr>
              <w:t>。</w:t>
            </w:r>
          </w:p>
          <w:p>
            <w:pPr>
              <w:ind w:firstLine="480" w:firstLineChars="200"/>
              <w:rPr>
                <w:rFonts w:hAnsi="宋体" w:eastAsia="宋体" w:cs="Times New Roman"/>
                <w:color w:val="000000"/>
                <w:sz w:val="24"/>
                <w:szCs w:val="24"/>
                <w:highlight w:val="none"/>
              </w:rPr>
            </w:pPr>
            <w:r>
              <w:rPr>
                <w:rFonts w:hint="eastAsia" w:eastAsia="宋体" w:cs="宋体"/>
                <w:bCs/>
                <w:sz w:val="24"/>
                <w:szCs w:val="24"/>
                <w:highlight w:val="none"/>
              </w:rPr>
              <w:t>纸质版投标文件的份数要求为</w:t>
            </w:r>
            <w:r>
              <w:rPr>
                <w:rFonts w:hint="eastAsia" w:ascii="宋体" w:hAnsi="宋体" w:eastAsia="宋体" w:cs="宋体"/>
                <w:b/>
                <w:sz w:val="24"/>
                <w:szCs w:val="24"/>
                <w:highlight w:val="none"/>
              </w:rPr>
              <w:t>正本一份</w:t>
            </w:r>
            <w:r>
              <w:rPr>
                <w:rFonts w:hint="eastAsia" w:ascii="宋体" w:hAnsi="宋体" w:eastAsia="宋体" w:cs="宋体"/>
                <w:b/>
                <w:sz w:val="24"/>
                <w:szCs w:val="24"/>
                <w:highlight w:val="none"/>
                <w:lang w:eastAsia="zh-CN"/>
              </w:rPr>
              <w:t>、</w:t>
            </w:r>
            <w:r>
              <w:rPr>
                <w:rFonts w:hint="eastAsia" w:ascii="宋体" w:hAnsi="宋体" w:eastAsia="宋体" w:cs="宋体"/>
                <w:b/>
                <w:sz w:val="24"/>
                <w:szCs w:val="24"/>
                <w:highlight w:val="none"/>
                <w:lang w:val="en-US" w:eastAsia="zh-CN"/>
              </w:rPr>
              <w:t>副本一份，</w:t>
            </w:r>
            <w:r>
              <w:rPr>
                <w:rFonts w:hint="eastAsia" w:ascii="宋体" w:hAnsi="宋体" w:eastAsia="宋体" w:cs="宋体"/>
                <w:bCs/>
                <w:sz w:val="24"/>
                <w:szCs w:val="24"/>
                <w:highlight w:val="none"/>
              </w:rPr>
              <w:t>资质投标书、技术投标书及商务投标书的</w:t>
            </w:r>
            <w:r>
              <w:rPr>
                <w:rFonts w:hint="eastAsia" w:eastAsia="宋体" w:cs="宋体"/>
                <w:b/>
                <w:sz w:val="24"/>
                <w:szCs w:val="24"/>
                <w:highlight w:val="none"/>
              </w:rPr>
              <w:t>同类文件封装在一个包封里，包封表面按照附件13标注文件信息；共计三个包封</w:t>
            </w:r>
            <w:r>
              <w:rPr>
                <w:rFonts w:hint="eastAsia" w:eastAsia="宋体" w:cs="宋体"/>
                <w:bCs/>
                <w:sz w:val="24"/>
                <w:szCs w:val="24"/>
                <w:highlight w:val="none"/>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19"/>
              <w:ind w:firstLine="482" w:firstLineChars="200"/>
              <w:rPr>
                <w:rFonts w:hAnsi="宋体" w:eastAsia="宋体" w:cs="宋体"/>
                <w:b/>
                <w:bCs/>
                <w:sz w:val="24"/>
                <w:szCs w:val="24"/>
                <w:highlight w:val="none"/>
              </w:rPr>
            </w:pPr>
            <w:r>
              <w:rPr>
                <w:rFonts w:hint="eastAsia" w:hAnsi="宋体" w:eastAsia="宋体" w:cs="宋体"/>
                <w:b/>
                <w:bCs/>
                <w:sz w:val="24"/>
                <w:highlight w:val="none"/>
              </w:rPr>
              <w:t>纸质版投标文件和电子版投标文件必须保证内容一致；如确实存在不一致的，以电子标书为准，同时要求投标人对纸版标书做出修正。</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spacing w:before="0" w:after="0" w:afterLines="0" w:line="240" w:lineRule="auto"/>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投标文件的装订：</w:t>
            </w:r>
            <w:r>
              <w:rPr>
                <w:rFonts w:hint="eastAsia" w:ascii="宋体" w:hAnsi="宋体" w:eastAsia="宋体" w:cs="宋体"/>
                <w:sz w:val="24"/>
                <w:szCs w:val="24"/>
                <w:highlight w:val="none"/>
              </w:rPr>
              <w:t>投标人必须将投标文件按照资质标文件1册、技术标文件1册、商务标文件1册</w:t>
            </w:r>
            <w:r>
              <w:rPr>
                <w:rFonts w:hint="eastAsia" w:ascii="宋体" w:hAnsi="宋体" w:eastAsia="宋体" w:cs="宋体"/>
                <w:b/>
                <w:bCs/>
                <w:sz w:val="24"/>
                <w:szCs w:val="24"/>
                <w:highlight w:val="none"/>
              </w:rPr>
              <w:t>分别进行</w:t>
            </w:r>
            <w:r>
              <w:rPr>
                <w:rFonts w:hint="eastAsia" w:ascii="宋体" w:hAnsi="宋体" w:eastAsia="宋体" w:cs="宋体"/>
                <w:bCs/>
                <w:sz w:val="24"/>
                <w:szCs w:val="24"/>
                <w:highlight w:val="none"/>
              </w:rPr>
              <w:t>胶装</w:t>
            </w:r>
            <w:r>
              <w:rPr>
                <w:rFonts w:hint="eastAsia" w:ascii="宋体" w:hAnsi="宋体" w:eastAsia="宋体" w:cs="宋体"/>
                <w:sz w:val="24"/>
                <w:szCs w:val="24"/>
                <w:highlight w:val="none"/>
              </w:rPr>
              <w:t>，各自不允许超过两册。</w:t>
            </w:r>
          </w:p>
          <w:p>
            <w:pPr>
              <w:pStyle w:val="19"/>
              <w:ind w:firstLine="482" w:firstLineChars="200"/>
              <w:rPr>
                <w:rFonts w:eastAsia="宋体" w:cs="宋体" w:asciiTheme="minorHAnsi" w:hAnsiTheme="minorHAnsi"/>
                <w:b/>
                <w:sz w:val="24"/>
                <w:szCs w:val="24"/>
                <w:highlight w:val="none"/>
              </w:rPr>
            </w:pPr>
            <w:r>
              <w:rPr>
                <w:rFonts w:hint="eastAsia" w:hAnsi="宋体" w:eastAsia="宋体" w:cs="宋体"/>
                <w:b/>
                <w:bCs/>
                <w:sz w:val="24"/>
                <w:szCs w:val="24"/>
                <w:highlight w:val="none"/>
              </w:rPr>
              <w:t>技术标书和商务标书不单独装订的，投标文件做无效标处理。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19"/>
              <w:ind w:firstLine="482" w:firstLineChars="200"/>
              <w:rPr>
                <w:rFonts w:hAnsi="宋体" w:eastAsia="宋体" w:cs="宋体"/>
                <w:sz w:val="24"/>
                <w:szCs w:val="24"/>
                <w:highlight w:val="none"/>
              </w:rPr>
            </w:pPr>
            <w:r>
              <w:rPr>
                <w:rFonts w:hint="eastAsia" w:hAnsi="宋体" w:eastAsia="宋体" w:cs="宋体"/>
                <w:b/>
                <w:bCs/>
                <w:sz w:val="24"/>
                <w:szCs w:val="24"/>
                <w:highlight w:val="none"/>
              </w:rPr>
              <w:t>投标文件递交截止时间：</w:t>
            </w:r>
            <w:r>
              <w:rPr>
                <w:rFonts w:hint="eastAsia" w:hAnsi="宋体" w:eastAsia="宋体" w:cs="宋体"/>
                <w:sz w:val="24"/>
                <w:szCs w:val="24"/>
                <w:highlight w:val="none"/>
                <w:u w:val="single"/>
              </w:rPr>
              <w:t>2025年</w:t>
            </w:r>
            <w:r>
              <w:rPr>
                <w:rFonts w:hint="eastAsia" w:hAnsi="宋体" w:eastAsia="宋体" w:cs="宋体"/>
                <w:sz w:val="24"/>
                <w:szCs w:val="24"/>
                <w:highlight w:val="none"/>
                <w:u w:val="single"/>
                <w:lang w:val="en-US" w:eastAsia="zh-CN"/>
              </w:rPr>
              <w:t>12</w:t>
            </w:r>
            <w:r>
              <w:rPr>
                <w:rFonts w:hint="eastAsia" w:hAnsi="宋体" w:eastAsia="宋体" w:cs="宋体"/>
                <w:sz w:val="24"/>
                <w:szCs w:val="24"/>
                <w:highlight w:val="none"/>
                <w:u w:val="single"/>
              </w:rPr>
              <w:t>月</w:t>
            </w:r>
            <w:r>
              <w:rPr>
                <w:rFonts w:hint="eastAsia" w:hAnsi="宋体" w:eastAsia="宋体" w:cs="宋体"/>
                <w:sz w:val="24"/>
                <w:szCs w:val="24"/>
                <w:highlight w:val="none"/>
                <w:u w:val="single"/>
                <w:lang w:val="en-US" w:eastAsia="zh-CN"/>
              </w:rPr>
              <w:t>30</w:t>
            </w:r>
            <w:r>
              <w:rPr>
                <w:rFonts w:hint="eastAsia" w:hAnsi="宋体" w:eastAsia="宋体" w:cs="宋体"/>
                <w:sz w:val="24"/>
                <w:szCs w:val="24"/>
                <w:highlight w:val="none"/>
              </w:rPr>
              <w:t>日</w:t>
            </w:r>
            <w:r>
              <w:rPr>
                <w:rFonts w:hint="eastAsia" w:hAnsi="宋体" w:eastAsia="宋体" w:cs="宋体"/>
                <w:sz w:val="24"/>
                <w:szCs w:val="24"/>
                <w:highlight w:val="none"/>
                <w:lang w:val="en-US" w:eastAsia="zh-CN"/>
              </w:rPr>
              <w:t>下</w:t>
            </w:r>
            <w:r>
              <w:rPr>
                <w:rFonts w:hint="eastAsia" w:hAnsi="宋体" w:eastAsia="宋体" w:cs="宋体"/>
                <w:kern w:val="0"/>
                <w:sz w:val="24"/>
                <w:szCs w:val="24"/>
                <w:highlight w:val="none"/>
              </w:rPr>
              <w:t>午</w:t>
            </w:r>
            <w:r>
              <w:rPr>
                <w:rFonts w:hint="eastAsia" w:hAnsi="宋体" w:eastAsia="宋体" w:cs="宋体"/>
                <w:kern w:val="0"/>
                <w:sz w:val="24"/>
                <w:szCs w:val="24"/>
                <w:highlight w:val="none"/>
                <w:lang w:val="en-US" w:eastAsia="zh-CN"/>
              </w:rPr>
              <w:t>14</w:t>
            </w:r>
            <w:r>
              <w:rPr>
                <w:rFonts w:hint="eastAsia" w:hAnsi="宋体" w:eastAsia="宋体" w:cs="宋体"/>
                <w:sz w:val="24"/>
                <w:szCs w:val="24"/>
                <w:highlight w:val="none"/>
              </w:rPr>
              <w:t>:00:00（北京时间）</w:t>
            </w:r>
          </w:p>
          <w:p>
            <w:pPr>
              <w:pStyle w:val="19"/>
              <w:ind w:firstLine="482" w:firstLineChars="200"/>
              <w:rPr>
                <w:rFonts w:hAnsi="宋体" w:eastAsia="宋体" w:cs="宋体"/>
                <w:sz w:val="24"/>
                <w:szCs w:val="24"/>
                <w:highlight w:val="none"/>
              </w:rPr>
            </w:pPr>
            <w:r>
              <w:rPr>
                <w:rFonts w:hint="eastAsia" w:hAnsi="宋体" w:eastAsia="宋体" w:cs="宋体"/>
                <w:b/>
                <w:bCs/>
                <w:sz w:val="24"/>
                <w:szCs w:val="24"/>
                <w:highlight w:val="none"/>
              </w:rPr>
              <w:t>注：请务必在投标文件递交截止时间前完成投标操作，截止时间精确到秒，逾期将无法投标。请自行掌握时间，避免无法投标</w:t>
            </w:r>
            <w:r>
              <w:rPr>
                <w:rFonts w:hint="eastAsia" w:eastAsia="宋体" w:cs="宋体"/>
                <w:b/>
                <w:bCs/>
                <w:sz w:val="24"/>
                <w:szCs w:val="28"/>
                <w:highlight w:val="none"/>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投标文件有效期：</w:t>
            </w:r>
            <w:r>
              <w:rPr>
                <w:rFonts w:hint="eastAsia" w:ascii="宋体" w:hAnsi="宋体" w:eastAsia="宋体" w:cs="宋体"/>
                <w:sz w:val="24"/>
                <w:szCs w:val="24"/>
                <w:highlight w:val="none"/>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20</w:t>
            </w:r>
            <w:r>
              <w:rPr>
                <w:rFonts w:hint="eastAsia" w:ascii="宋体" w:hAnsi="宋体" w:eastAsia="宋体" w:cs="宋体"/>
                <w:sz w:val="24"/>
                <w:szCs w:val="24"/>
                <w:highlight w:val="yellow"/>
              </w:rPr>
              <w:t>000元</w:t>
            </w:r>
          </w:p>
          <w:p>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单位名称：</w:t>
            </w:r>
            <w:r>
              <w:rPr>
                <w:rFonts w:hint="eastAsia" w:ascii="宋体" w:hAnsi="宋体" w:eastAsia="宋体" w:cs="宋体"/>
                <w:b/>
                <w:bCs/>
                <w:color w:val="000000"/>
                <w:kern w:val="0"/>
                <w:sz w:val="24"/>
                <w:szCs w:val="24"/>
                <w:highlight w:val="none"/>
                <w:lang w:eastAsia="zh-CN"/>
              </w:rPr>
              <w:t>中国重汽集团济南动力有限公司</w:t>
            </w:r>
          </w:p>
          <w:p>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 xml:space="preserve">单位名称：中国重汽集团济南动力有限公司                   </w:t>
            </w:r>
          </w:p>
          <w:p>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 xml:space="preserve">收款账号：37001616508050150300                         </w:t>
            </w:r>
          </w:p>
          <w:p>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 xml:space="preserve">开户行名称：中国建设银行股份有限公司济南天桥支行                          </w:t>
            </w:r>
          </w:p>
          <w:p>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开户行联号：105451000362</w:t>
            </w:r>
          </w:p>
          <w:p>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pPr>
              <w:ind w:firstLine="480" w:firstLineChars="200"/>
              <w:rPr>
                <w:rFonts w:ascii="宋体" w:hAnsi="宋体" w:eastAsia="宋体" w:cs="宋体"/>
                <w:sz w:val="24"/>
                <w:szCs w:val="24"/>
                <w:highlight w:val="none"/>
              </w:rPr>
            </w:pPr>
            <w:r>
              <w:rPr>
                <w:rFonts w:hint="eastAsia" w:eastAsia="宋体" w:cs="Times New Roman"/>
                <w:sz w:val="24"/>
                <w:szCs w:val="28"/>
                <w:highlight w:val="none"/>
              </w:rPr>
              <w:t>转账附言：投标保证金</w:t>
            </w:r>
            <w:r>
              <w:rPr>
                <w:rFonts w:hint="eastAsia" w:eastAsia="宋体" w:cs="Times New Roman"/>
                <w:sz w:val="24"/>
                <w:szCs w:val="28"/>
                <w:highlight w:val="none"/>
                <w:lang w:val="en-US" w:eastAsia="zh-CN"/>
              </w:rPr>
              <w:t>+检测中心</w:t>
            </w:r>
            <w:r>
              <w:rPr>
                <w:rFonts w:hint="eastAsia" w:ascii="宋体" w:hAnsi="宋体" w:eastAsia="宋体" w:cs="宋体"/>
                <w:b/>
                <w:bCs/>
                <w:sz w:val="24"/>
                <w:szCs w:val="24"/>
                <w:highlight w:val="none"/>
              </w:rPr>
              <w:t>环保设备设施项目</w:t>
            </w:r>
            <w:r>
              <w:rPr>
                <w:rFonts w:hint="eastAsia" w:ascii="宋体" w:hAnsi="宋体" w:eastAsia="宋体" w:cs="宋体"/>
                <w:b/>
                <w:bCs/>
                <w:sz w:val="24"/>
                <w:szCs w:val="24"/>
                <w:highlight w:val="none"/>
                <w:lang w:val="en-US" w:eastAsia="zh-CN"/>
              </w:rPr>
              <w:t>+</w:t>
            </w:r>
            <w:r>
              <w:rPr>
                <w:rFonts w:hint="eastAsia" w:eastAsia="宋体" w:cs="Times New Roman"/>
                <w:sz w:val="24"/>
                <w:szCs w:val="28"/>
                <w:highlight w:val="none"/>
              </w:rPr>
              <w:t>公司</w:t>
            </w:r>
            <w:r>
              <w:rPr>
                <w:rFonts w:hint="eastAsia" w:eastAsia="宋体" w:cs="Times New Roman"/>
                <w:sz w:val="24"/>
                <w:szCs w:val="28"/>
                <w:highlight w:val="none"/>
                <w:lang w:val="en-US" w:eastAsia="zh-CN"/>
              </w:rPr>
              <w:t>简</w:t>
            </w:r>
            <w:r>
              <w:rPr>
                <w:rFonts w:hint="eastAsia" w:eastAsia="宋体" w:cs="Times New Roman"/>
                <w:sz w:val="24"/>
                <w:szCs w:val="28"/>
                <w:highlight w:val="none"/>
              </w:rPr>
              <w:t>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37"/>
              <w:spacing w:after="0" w:line="240" w:lineRule="auto"/>
              <w:ind w:left="0" w:leftChars="0" w:firstLine="482"/>
              <w:rPr>
                <w:rFonts w:ascii="宋体" w:hAnsi="宋体" w:cs="宋体"/>
                <w:sz w:val="24"/>
                <w:szCs w:val="24"/>
                <w:highlight w:val="none"/>
              </w:rPr>
            </w:pPr>
            <w:r>
              <w:rPr>
                <w:rFonts w:hint="eastAsia" w:ascii="宋体" w:hAnsi="宋体" w:cs="宋体"/>
                <w:b/>
                <w:bCs/>
                <w:sz w:val="24"/>
                <w:szCs w:val="24"/>
                <w:highlight w:val="none"/>
              </w:rPr>
              <w:t>保证金缴纳截止时间：</w:t>
            </w:r>
            <w:r>
              <w:rPr>
                <w:rFonts w:hint="eastAsia" w:ascii="宋体" w:hAnsi="宋体" w:cs="宋体"/>
                <w:sz w:val="24"/>
                <w:szCs w:val="24"/>
                <w:highlight w:val="none"/>
              </w:rPr>
              <w:t>2025年</w:t>
            </w:r>
            <w:r>
              <w:rPr>
                <w:rFonts w:hint="eastAsia" w:ascii="宋体" w:hAnsi="宋体" w:cs="宋体"/>
                <w:sz w:val="24"/>
                <w:szCs w:val="24"/>
                <w:highlight w:val="none"/>
                <w:lang w:val="en-US" w:eastAsia="zh-CN"/>
              </w:rPr>
              <w:t>12</w:t>
            </w:r>
            <w:r>
              <w:rPr>
                <w:rFonts w:hint="eastAsia" w:ascii="宋体" w:hAnsi="宋体" w:cs="宋体"/>
                <w:sz w:val="24"/>
                <w:szCs w:val="24"/>
                <w:highlight w:val="none"/>
              </w:rPr>
              <w:t>月</w:t>
            </w:r>
            <w:r>
              <w:rPr>
                <w:rFonts w:hint="eastAsia" w:ascii="宋体" w:hAnsi="宋体" w:cs="宋体"/>
                <w:sz w:val="24"/>
                <w:szCs w:val="24"/>
                <w:highlight w:val="none"/>
                <w:lang w:val="en-US" w:eastAsia="zh-CN"/>
              </w:rPr>
              <w:t>29</w:t>
            </w:r>
            <w:r>
              <w:rPr>
                <w:rFonts w:hint="eastAsia" w:ascii="宋体" w:hAnsi="宋体" w:cs="宋体"/>
                <w:sz w:val="24"/>
                <w:szCs w:val="24"/>
                <w:highlight w:val="none"/>
              </w:rPr>
              <w:t>日</w:t>
            </w:r>
            <w:r>
              <w:rPr>
                <w:rFonts w:hint="eastAsia" w:ascii="宋体" w:hAnsi="宋体" w:cs="宋体"/>
                <w:sz w:val="24"/>
                <w:szCs w:val="24"/>
                <w:highlight w:val="none"/>
                <w:lang w:val="en-US" w:eastAsia="zh-CN"/>
              </w:rPr>
              <w:t>17</w:t>
            </w:r>
            <w:r>
              <w:rPr>
                <w:rFonts w:hint="eastAsia" w:ascii="宋体" w:hAnsi="宋体" w:cs="宋体"/>
                <w:sz w:val="24"/>
                <w:szCs w:val="24"/>
                <w:highlight w:val="none"/>
              </w:rPr>
              <w:t>：</w:t>
            </w:r>
            <w:r>
              <w:rPr>
                <w:rFonts w:ascii="宋体" w:hAnsi="宋体" w:cs="宋体"/>
                <w:sz w:val="24"/>
                <w:szCs w:val="24"/>
                <w:highlight w:val="none"/>
              </w:rPr>
              <w:t>0</w:t>
            </w:r>
            <w:r>
              <w:rPr>
                <w:rFonts w:hint="eastAsia" w:ascii="宋体" w:hAnsi="宋体" w:cs="宋体"/>
                <w:sz w:val="24"/>
                <w:szCs w:val="24"/>
                <w:highlight w:val="none"/>
              </w:rPr>
              <w:t>0前</w:t>
            </w:r>
          </w:p>
          <w:p>
            <w:pPr>
              <w:pStyle w:val="37"/>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37"/>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开标时间：</w:t>
            </w:r>
            <w:r>
              <w:rPr>
                <w:rFonts w:hint="eastAsia" w:ascii="宋体" w:hAnsi="宋体" w:eastAsia="宋体" w:cs="宋体"/>
                <w:sz w:val="24"/>
                <w:szCs w:val="24"/>
                <w:highlight w:val="none"/>
              </w:rPr>
              <w:t>2025年</w:t>
            </w:r>
            <w:r>
              <w:rPr>
                <w:rFonts w:hint="eastAsia" w:ascii="宋体" w:hAnsi="宋体" w:eastAsia="宋体" w:cs="宋体"/>
                <w:sz w:val="24"/>
                <w:szCs w:val="24"/>
                <w:highlight w:val="none"/>
                <w:lang w:val="en-US" w:eastAsia="zh-CN"/>
              </w:rPr>
              <w:t>12</w:t>
            </w:r>
            <w:r>
              <w:rPr>
                <w:rFonts w:hint="eastAsia" w:ascii="宋体" w:hAnsi="宋体" w:eastAsia="宋体" w:cs="宋体"/>
                <w:sz w:val="24"/>
                <w:szCs w:val="24"/>
                <w:highlight w:val="none"/>
              </w:rPr>
              <w:t>月</w:t>
            </w:r>
            <w:r>
              <w:rPr>
                <w:rFonts w:hint="eastAsia" w:ascii="宋体" w:hAnsi="宋体" w:eastAsia="宋体" w:cs="宋体"/>
                <w:sz w:val="24"/>
                <w:szCs w:val="24"/>
                <w:highlight w:val="none"/>
                <w:lang w:val="en-US" w:eastAsia="zh-CN"/>
              </w:rPr>
              <w:t>30</w:t>
            </w:r>
            <w:r>
              <w:rPr>
                <w:rFonts w:hint="eastAsia" w:ascii="宋体" w:hAnsi="宋体" w:cs="宋体"/>
                <w:sz w:val="24"/>
                <w:szCs w:val="24"/>
                <w:highlight w:val="none"/>
              </w:rPr>
              <w:t>日</w:t>
            </w:r>
            <w:r>
              <w:rPr>
                <w:rFonts w:hint="eastAsia" w:ascii="宋体" w:hAnsi="宋体" w:cs="宋体"/>
                <w:sz w:val="24"/>
                <w:szCs w:val="24"/>
                <w:highlight w:val="none"/>
                <w:lang w:val="en-US" w:eastAsia="zh-CN"/>
              </w:rPr>
              <w:t>14</w:t>
            </w:r>
            <w:r>
              <w:rPr>
                <w:rFonts w:hint="eastAsia" w:ascii="宋体" w:hAnsi="宋体" w:cs="宋体"/>
                <w:sz w:val="24"/>
                <w:szCs w:val="24"/>
                <w:highlight w:val="none"/>
              </w:rPr>
              <w:t>:00:00</w:t>
            </w:r>
            <w:r>
              <w:rPr>
                <w:rFonts w:hint="eastAsia" w:ascii="宋体" w:hAnsi="宋体" w:eastAsia="宋体" w:cs="宋体"/>
                <w:kern w:val="0"/>
                <w:sz w:val="24"/>
                <w:szCs w:val="24"/>
                <w:highlight w:val="none"/>
              </w:rPr>
              <w:t>。</w:t>
            </w:r>
          </w:p>
          <w:p>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开标地点：</w:t>
            </w:r>
            <w:r>
              <w:rPr>
                <w:rFonts w:hint="eastAsia" w:ascii="宋体" w:hAnsi="宋体" w:eastAsia="宋体" w:cs="宋体"/>
                <w:b w:val="0"/>
                <w:bCs w:val="0"/>
                <w:sz w:val="24"/>
                <w:szCs w:val="24"/>
                <w:highlight w:val="none"/>
                <w:lang w:val="en-US" w:eastAsia="zh-CN"/>
              </w:rPr>
              <w:t>济南市历城区华奥路777号重汽科技大厦3楼会议室，具体会议室</w:t>
            </w:r>
            <w:r>
              <w:rPr>
                <w:rFonts w:hint="eastAsia" w:ascii="宋体" w:hAnsi="宋体" w:eastAsia="宋体" w:cs="宋体"/>
                <w:sz w:val="24"/>
                <w:szCs w:val="24"/>
                <w:highlight w:val="none"/>
                <w:lang w:val="en-US" w:eastAsia="zh-CN"/>
              </w:rPr>
              <w:t>开标前通知</w:t>
            </w:r>
            <w:r>
              <w:rPr>
                <w:rFonts w:hint="eastAsia" w:ascii="宋体" w:hAnsi="宋体" w:eastAsia="宋体" w:cs="宋体"/>
                <w:sz w:val="24"/>
                <w:szCs w:val="24"/>
                <w:highlight w:val="none"/>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5.2</w:t>
            </w:r>
          </w:p>
        </w:tc>
        <w:tc>
          <w:tcPr>
            <w:tcW w:w="8363" w:type="dxa"/>
            <w:tcBorders>
              <w:top w:val="single" w:color="auto" w:sz="2" w:space="0"/>
              <w:left w:val="single" w:color="auto" w:sz="2" w:space="0"/>
              <w:bottom w:val="single" w:color="auto" w:sz="2" w:space="0"/>
              <w:right w:val="single" w:color="auto" w:sz="2" w:space="0"/>
            </w:tcBorders>
            <w:vAlign w:val="center"/>
          </w:tcPr>
          <w:p>
            <w:pPr>
              <w:pStyle w:val="11"/>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评标方法：资质标审核→唱标→技术标评审→商务标评审。综合评标法，技术标30%，商务标70%。</w:t>
            </w:r>
            <w:r>
              <w:rPr>
                <w:rFonts w:hint="eastAsia" w:ascii="宋体" w:hAnsi="宋体" w:eastAsia="宋体" w:cs="宋体"/>
                <w:sz w:val="24"/>
                <w:szCs w:val="24"/>
                <w:highlight w:val="none"/>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b/>
                <w:bCs/>
                <w:sz w:val="24"/>
                <w:szCs w:val="24"/>
                <w:highlight w:val="none"/>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19"/>
              <w:ind w:firstLine="482" w:firstLineChars="200"/>
              <w:rPr>
                <w:rFonts w:hAnsi="宋体" w:eastAsia="宋体" w:cs="宋体"/>
                <w:b/>
                <w:bCs/>
                <w:color w:val="000000"/>
                <w:sz w:val="24"/>
                <w:szCs w:val="24"/>
                <w:highlight w:val="none"/>
              </w:rPr>
            </w:pPr>
            <w:r>
              <w:rPr>
                <w:rFonts w:hint="eastAsia" w:hAnsi="宋体" w:eastAsia="宋体" w:cs="宋体"/>
                <w:b/>
                <w:bCs/>
                <w:color w:val="000000"/>
                <w:sz w:val="24"/>
                <w:szCs w:val="24"/>
                <w:highlight w:val="none"/>
              </w:rPr>
              <w:t>交货期：</w:t>
            </w:r>
          </w:p>
          <w:p>
            <w:pPr>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w:t>
            </w:r>
            <w:r>
              <w:rPr>
                <w:rFonts w:hint="eastAsia" w:ascii="宋体" w:hAnsi="宋体" w:eastAsia="宋体" w:cs="宋体"/>
                <w:sz w:val="24"/>
                <w:szCs w:val="24"/>
              </w:rPr>
              <w:t xml:space="preserve"> 投标方应自</w:t>
            </w:r>
            <w:r>
              <w:rPr>
                <w:rFonts w:hint="eastAsia" w:ascii="宋体" w:hAnsi="宋体" w:eastAsia="宋体" w:cs="宋体"/>
                <w:sz w:val="24"/>
                <w:szCs w:val="24"/>
                <w:lang w:val="en-US" w:eastAsia="zh-CN"/>
              </w:rPr>
              <w:t>合同签定</w:t>
            </w:r>
            <w:r>
              <w:rPr>
                <w:rFonts w:hint="eastAsia" w:ascii="宋体" w:hAnsi="宋体" w:eastAsia="宋体" w:cs="宋体"/>
                <w:sz w:val="24"/>
                <w:szCs w:val="24"/>
              </w:rPr>
              <w:t>之日起，</w:t>
            </w:r>
            <w:r>
              <w:rPr>
                <w:rFonts w:hint="eastAsia" w:ascii="宋体" w:hAnsi="宋体" w:eastAsia="宋体" w:cs="宋体"/>
                <w:sz w:val="24"/>
                <w:szCs w:val="24"/>
                <w:lang w:val="en-US" w:eastAsia="zh-CN"/>
              </w:rPr>
              <w:t>3个月之内交货至供货地点</w:t>
            </w:r>
          </w:p>
          <w:p>
            <w:pPr>
              <w:rPr>
                <w:rFonts w:hint="default" w:hAnsi="宋体" w:eastAsia="宋体" w:cs="宋体"/>
                <w:color w:val="000000"/>
                <w:sz w:val="24"/>
                <w:szCs w:val="24"/>
                <w:highlight w:val="none"/>
                <w:lang w:val="en-US" w:eastAsia="zh-CN"/>
              </w:rPr>
            </w:pPr>
            <w:r>
              <w:rPr>
                <w:rFonts w:hint="eastAsia" w:ascii="宋体" w:hAnsi="宋体" w:eastAsia="宋体" w:cs="宋体"/>
                <w:sz w:val="24"/>
                <w:szCs w:val="24"/>
              </w:rPr>
              <w:t>2. 接续</w:t>
            </w:r>
            <w:r>
              <w:rPr>
                <w:rFonts w:hint="eastAsia" w:ascii="宋体" w:hAnsi="宋体" w:eastAsia="宋体" w:cs="宋体"/>
                <w:sz w:val="24"/>
                <w:szCs w:val="24"/>
                <w:lang w:val="en-US" w:eastAsia="zh-CN"/>
              </w:rPr>
              <w:t>30</w:t>
            </w:r>
            <w:bookmarkStart w:id="152" w:name="_GoBack"/>
            <w:bookmarkEnd w:id="152"/>
            <w:r>
              <w:rPr>
                <w:rFonts w:hint="eastAsia" w:ascii="宋体" w:hAnsi="宋体" w:eastAsia="宋体" w:cs="宋体"/>
                <w:sz w:val="24"/>
                <w:szCs w:val="24"/>
              </w:rPr>
              <w:t>个日历日之内安装调试完毕；</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19"/>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交货方式：</w:t>
            </w:r>
            <w:r>
              <w:rPr>
                <w:rFonts w:hint="eastAsia" w:hAnsi="宋体" w:eastAsia="宋体" w:cs="宋体"/>
                <w:color w:val="000000"/>
                <w:sz w:val="24"/>
                <w:szCs w:val="24"/>
                <w:highlight w:val="none"/>
              </w:rPr>
              <w:t>交钥匙方式；</w:t>
            </w:r>
          </w:p>
          <w:p>
            <w:pPr>
              <w:pStyle w:val="19"/>
              <w:ind w:firstLine="482" w:firstLineChars="200"/>
              <w:rPr>
                <w:rFonts w:hint="eastAsia" w:hAnsi="宋体" w:eastAsia="宋体" w:cs="宋体"/>
                <w:color w:val="000000"/>
                <w:sz w:val="24"/>
                <w:szCs w:val="24"/>
                <w:highlight w:val="none"/>
                <w:lang w:eastAsia="zh-CN"/>
              </w:rPr>
            </w:pPr>
            <w:r>
              <w:rPr>
                <w:rFonts w:hint="eastAsia" w:hAnsi="宋体" w:eastAsia="宋体" w:cs="宋体"/>
                <w:b/>
                <w:bCs/>
                <w:color w:val="000000"/>
                <w:sz w:val="24"/>
                <w:szCs w:val="24"/>
                <w:highlight w:val="none"/>
              </w:rPr>
              <w:t>交货地点：</w:t>
            </w:r>
            <w:r>
              <w:rPr>
                <w:rFonts w:hint="eastAsia" w:hAnsi="宋体" w:eastAsia="宋体" w:cs="宋体"/>
                <w:color w:val="000000"/>
                <w:sz w:val="24"/>
                <w:szCs w:val="24"/>
                <w:highlight w:val="none"/>
                <w:lang w:eastAsia="zh-CN"/>
              </w:rPr>
              <w:t>中国重汽集团济南动力有限公司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
              <w:ind w:firstLine="482" w:firstLineChars="200"/>
              <w:rPr>
                <w:rFonts w:ascii="宋体" w:hAnsi="宋体" w:eastAsia="宋体" w:cs="宋体"/>
                <w:sz w:val="24"/>
                <w:szCs w:val="24"/>
                <w:highlight w:val="none"/>
              </w:rPr>
            </w:pPr>
            <w:r>
              <w:rPr>
                <w:rFonts w:hint="eastAsia" w:ascii="宋体" w:hAnsi="宋体" w:eastAsia="宋体" w:cs="宋体"/>
                <w:b/>
                <w:sz w:val="24"/>
                <w:szCs w:val="24"/>
                <w:highlight w:val="none"/>
              </w:rPr>
              <w:t>质保期：自设备验收文件最终签署之日起</w:t>
            </w:r>
            <w:r>
              <w:rPr>
                <w:rFonts w:hint="eastAsia" w:ascii="宋体" w:hAnsi="宋体" w:eastAsia="宋体" w:cs="宋体"/>
                <w:b/>
                <w:sz w:val="24"/>
                <w:szCs w:val="24"/>
                <w:highlight w:val="none"/>
                <w:u w:val="single"/>
                <w:lang w:val="en-US" w:eastAsia="zh-CN"/>
              </w:rPr>
              <w:t>1</w:t>
            </w:r>
            <w:r>
              <w:rPr>
                <w:rFonts w:hint="eastAsia" w:ascii="宋体" w:hAnsi="宋体" w:eastAsia="宋体" w:cs="宋体"/>
                <w:b/>
                <w:sz w:val="24"/>
                <w:szCs w:val="24"/>
                <w:highlight w:val="none"/>
              </w:rPr>
              <w:t>年。</w:t>
            </w:r>
            <w:r>
              <w:rPr>
                <w:rFonts w:hint="eastAsia" w:ascii="宋体" w:hAnsi="宋体" w:eastAsia="宋体" w:cs="宋体"/>
                <w:sz w:val="24"/>
                <w:szCs w:val="24"/>
                <w:highlight w:val="none"/>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37"/>
              <w:spacing w:after="0" w:line="240" w:lineRule="auto"/>
              <w:ind w:firstLine="482"/>
              <w:rPr>
                <w:rFonts w:ascii="宋体" w:hAnsi="宋体" w:cs="宋体"/>
                <w:b/>
                <w:bCs/>
                <w:sz w:val="24"/>
                <w:szCs w:val="24"/>
              </w:rPr>
            </w:pPr>
            <w:r>
              <w:rPr>
                <w:rFonts w:hint="eastAsia" w:ascii="宋体" w:hAnsi="宋体" w:cs="宋体"/>
                <w:b/>
                <w:bCs/>
                <w:sz w:val="24"/>
                <w:szCs w:val="24"/>
                <w:u w:val="single"/>
              </w:rPr>
              <w:t>付款方式：半年期商业汇票（包括银行承兑汇票和商业承兑汇票）</w:t>
            </w:r>
          </w:p>
          <w:p>
            <w:pPr>
              <w:rPr>
                <w:rFonts w:hint="eastAsia" w:hAnsi="宋体" w:eastAsia="宋体" w:cs="宋体"/>
                <w:b w:val="0"/>
                <w:bCs w:val="0"/>
                <w:color w:val="000000"/>
                <w:sz w:val="24"/>
                <w:szCs w:val="24"/>
                <w:highlight w:val="none"/>
              </w:rPr>
            </w:pPr>
            <w:r>
              <w:rPr>
                <w:rFonts w:ascii="宋体" w:hAnsi="宋体" w:eastAsia="宋体" w:cs="宋体"/>
                <w:sz w:val="24"/>
                <w:szCs w:val="24"/>
              </w:rPr>
              <w:t>1.合同生效设备全部到齐无质量问题通过买方初步验收并到货后，卖方开具金额为该合同设备价格30%的增值税专用发票带30%的收据（含复印件二份），经买方依照财务制度审核无误后支付合同价款的30%。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2.设备全部到齐，经现场安装、调试、验收合格交付使用后，卖方提交金额为合同价款60%的收据并附带下列单据，经买方依照财务制度审核无误后支付合同价款的60%。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a.金额为该合同设备价格70%的增值税专用发票（含复印件二份），具体开票信息详见发票信息表，根据表中所列分别开具增值税发票。</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b.该套设备最终验收报告的原件及其复印件两份。</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3.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yellow"/>
                <w:lang w:val="en-US" w:eastAsia="zh-CN"/>
              </w:rPr>
              <w:t>*注：付款方式及付款比例不允许偏离。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增值税专用发票开票信息：</w:t>
            </w:r>
          </w:p>
          <w:p>
            <w:pPr>
              <w:ind w:firstLine="480" w:firstLineChars="200"/>
              <w:rPr>
                <w:rFonts w:ascii="宋体" w:hAnsi="宋体" w:cs="宋体"/>
                <w:bCs/>
                <w:sz w:val="24"/>
                <w:szCs w:val="24"/>
                <w:highlight w:val="none"/>
              </w:rPr>
            </w:pPr>
            <w:r>
              <w:rPr>
                <w:rFonts w:hint="eastAsia" w:ascii="宋体" w:hAnsi="宋体" w:eastAsia="宋体" w:cs="宋体"/>
                <w:sz w:val="24"/>
                <w:szCs w:val="24"/>
                <w:highlight w:val="none"/>
                <w:lang w:bidi="ar"/>
              </w:rPr>
              <w:t>见最终合同签订信息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1"/>
              <w:jc w:val="center"/>
              <w:rPr>
                <w:rFonts w:ascii="宋体" w:hAnsi="宋体" w:eastAsia="宋体" w:cs="宋体"/>
                <w:sz w:val="24"/>
                <w:szCs w:val="24"/>
                <w:highlight w:val="none"/>
              </w:rPr>
            </w:pPr>
            <w:r>
              <w:rPr>
                <w:rFonts w:hint="eastAsia" w:ascii="宋体" w:hAnsi="宋体" w:eastAsia="宋体" w:cs="宋体"/>
                <w:b/>
                <w:bCs/>
                <w:sz w:val="24"/>
                <w:szCs w:val="24"/>
                <w:highlight w:val="none"/>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8.1</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投标内容的分解报价、设计图纸等招标人所需要的各类资料，招标人为推进项目招标定标流程时需要上述资料的，中标人应及时无偿提供。</w:t>
            </w:r>
          </w:p>
          <w:p>
            <w:pPr>
              <w:pStyle w:val="1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1"/>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中标方应在合同签订后</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日内</w:t>
            </w:r>
            <w:r>
              <w:rPr>
                <w:rFonts w:hint="eastAsia" w:ascii="宋体" w:hAnsi="宋体" w:eastAsia="宋体" w:cs="宋体"/>
                <w:sz w:val="24"/>
                <w:szCs w:val="24"/>
                <w:highlight w:val="none"/>
                <w:lang w:val="en-US" w:eastAsia="zh-CN"/>
              </w:rPr>
              <w:t>编制</w:t>
            </w:r>
            <w:r>
              <w:rPr>
                <w:rFonts w:hint="eastAsia" w:ascii="宋体" w:hAnsi="宋体" w:eastAsia="宋体" w:cs="宋体"/>
                <w:sz w:val="24"/>
                <w:szCs w:val="24"/>
                <w:highlight w:val="none"/>
              </w:rPr>
              <w:t>完成</w:t>
            </w:r>
            <w:r>
              <w:rPr>
                <w:rFonts w:hint="eastAsia" w:ascii="宋体" w:hAnsi="宋体" w:eastAsia="宋体" w:cs="宋体"/>
                <w:sz w:val="24"/>
                <w:szCs w:val="24"/>
                <w:highlight w:val="none"/>
                <w:lang w:val="en-US" w:eastAsia="zh-CN"/>
              </w:rPr>
              <w:t>项目计划和项目组织机构并盖章发给招标方</w:t>
            </w:r>
            <w:r>
              <w:rPr>
                <w:rFonts w:hint="eastAsia" w:ascii="宋体" w:hAnsi="宋体" w:eastAsia="宋体" w:cs="宋体"/>
                <w:sz w:val="24"/>
                <w:szCs w:val="24"/>
                <w:highlight w:val="none"/>
              </w:rPr>
              <w:t>。</w:t>
            </w:r>
          </w:p>
          <w:p>
            <w:pPr>
              <w:pStyle w:val="11"/>
              <w:ind w:firstLine="480" w:firstLineChars="200"/>
              <w:rPr>
                <w:rFonts w:hint="eastAsia" w:ascii="宋体" w:hAnsi="宋体" w:eastAsia="宋体" w:cs="宋体"/>
                <w:sz w:val="24"/>
                <w:szCs w:val="24"/>
                <w:highlight w:val="none"/>
              </w:rPr>
            </w:pPr>
            <w:r>
              <w:rPr>
                <w:rFonts w:hint="eastAsia" w:ascii="宋体" w:hAnsi="宋体" w:eastAsia="宋体" w:cs="宋体"/>
                <w:sz w:val="24"/>
                <w:szCs w:val="24"/>
              </w:rPr>
              <w:t>中标人应在合同签订后</w:t>
            </w:r>
            <w:r>
              <w:rPr>
                <w:rFonts w:hint="eastAsia" w:ascii="宋体" w:hAnsi="宋体" w:eastAsia="宋体" w:cs="宋体"/>
                <w:color w:val="FF0000"/>
                <w:sz w:val="24"/>
                <w:szCs w:val="24"/>
                <w:highlight w:val="yellow"/>
              </w:rPr>
              <w:t>15日</w:t>
            </w:r>
            <w:r>
              <w:rPr>
                <w:rFonts w:hint="eastAsia" w:ascii="宋体" w:hAnsi="宋体" w:eastAsia="宋体" w:cs="宋体"/>
                <w:sz w:val="24"/>
                <w:szCs w:val="24"/>
              </w:rPr>
              <w:t>内需根据设计</w:t>
            </w:r>
            <w:r>
              <w:rPr>
                <w:rStyle w:val="44"/>
                <w:rFonts w:hint="eastAsia" w:ascii="宋体" w:hAnsi="宋体" w:eastAsia="宋体" w:cs="宋体"/>
                <w:sz w:val="24"/>
                <w:szCs w:val="24"/>
              </w:rPr>
              <w:t>提资</w:t>
            </w:r>
            <w:r>
              <w:rPr>
                <w:rFonts w:hint="eastAsia" w:ascii="宋体" w:hAnsi="宋体" w:eastAsia="宋体" w:cs="宋体"/>
                <w:sz w:val="24"/>
                <w:szCs w:val="24"/>
              </w:rPr>
              <w:t>要求提供详细的</w:t>
            </w:r>
            <w:r>
              <w:rPr>
                <w:rStyle w:val="44"/>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4"/>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4"/>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pPr>
        <w:pStyle w:val="19"/>
        <w:numPr>
          <w:ilvl w:val="0"/>
          <w:numId w:val="2"/>
        </w:numPr>
        <w:jc w:val="center"/>
        <w:outlineLvl w:val="0"/>
        <w:rPr>
          <w:rFonts w:ascii="Calibri" w:hAnsi="Calibri" w:eastAsia="宋体" w:cs="Times New Roman"/>
          <w:b/>
          <w:bCs/>
          <w:kern w:val="44"/>
          <w:sz w:val="36"/>
          <w:szCs w:val="44"/>
          <w:highlight w:val="none"/>
        </w:rPr>
        <w:sectPr>
          <w:headerReference r:id="rId7" w:type="default"/>
          <w:footerReference r:id="rId8" w:type="default"/>
          <w:pgSz w:w="11907" w:h="16840"/>
          <w:pgMar w:top="1304" w:right="1418" w:bottom="1304" w:left="1418" w:header="724" w:footer="851" w:gutter="0"/>
          <w:pgNumType w:fmt="decimal"/>
          <w:cols w:space="720" w:num="1"/>
          <w:docGrid w:linePitch="290" w:charSpace="-3931"/>
        </w:sectPr>
      </w:pPr>
    </w:p>
    <w:p>
      <w:pPr>
        <w:pStyle w:val="19"/>
        <w:jc w:val="center"/>
        <w:outlineLvl w:val="0"/>
        <w:rPr>
          <w:rFonts w:ascii="Calibri" w:hAnsi="Calibri" w:eastAsia="宋体" w:cs="Times New Roman"/>
          <w:b/>
          <w:bCs/>
          <w:kern w:val="44"/>
          <w:sz w:val="36"/>
          <w:szCs w:val="44"/>
          <w:highlight w:val="none"/>
        </w:rPr>
      </w:pPr>
      <w:bookmarkStart w:id="4" w:name="_Toc15609"/>
      <w:r>
        <w:rPr>
          <w:rFonts w:hint="eastAsia" w:ascii="Calibri" w:hAnsi="Calibri" w:eastAsia="宋体" w:cs="Times New Roman"/>
          <w:b/>
          <w:bCs/>
          <w:kern w:val="44"/>
          <w:sz w:val="36"/>
          <w:szCs w:val="44"/>
          <w:highlight w:val="none"/>
        </w:rPr>
        <w:t>第二部分 投标须知</w:t>
      </w:r>
      <w:bookmarkEnd w:id="4"/>
    </w:p>
    <w:p>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一、项目名称</w:t>
      </w:r>
    </w:p>
    <w:p>
      <w:pPr>
        <w:spacing w:line="360" w:lineRule="auto"/>
        <w:ind w:left="1679" w:leftChars="228" w:hanging="1200" w:hangingChars="500"/>
        <w:rPr>
          <w:rFonts w:ascii="宋体" w:hAnsi="宋体" w:eastAsia="宋体" w:cs="宋体"/>
          <w:color w:val="000000"/>
          <w:sz w:val="24"/>
          <w:szCs w:val="24"/>
          <w:highlight w:val="none"/>
          <w:u w:val="single"/>
        </w:rPr>
      </w:pPr>
      <w:r>
        <w:rPr>
          <w:rFonts w:hint="eastAsia" w:ascii="宋体" w:hAnsi="宋体" w:eastAsia="宋体" w:cs="宋体"/>
          <w:color w:val="000000"/>
          <w:sz w:val="24"/>
          <w:szCs w:val="24"/>
          <w:highlight w:val="none"/>
        </w:rPr>
        <w:t>项目名称：</w:t>
      </w:r>
      <w:bookmarkStart w:id="5" w:name="OLE_LINK1"/>
      <w:r>
        <w:rPr>
          <w:rFonts w:hint="eastAsia" w:ascii="宋体" w:hAnsi="宋体" w:eastAsia="宋体" w:cs="宋体"/>
          <w:color w:val="000000"/>
          <w:sz w:val="24"/>
          <w:szCs w:val="24"/>
          <w:highlight w:val="none"/>
        </w:rPr>
        <w:t>见《投标须知前附表》。</w:t>
      </w:r>
    </w:p>
    <w:bookmarkEnd w:id="5"/>
    <w:p>
      <w:pPr>
        <w:keepNext/>
        <w:keepLines/>
        <w:numPr>
          <w:ilvl w:val="0"/>
          <w:numId w:val="3"/>
        </w:numPr>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pPr>
        <w:pStyle w:val="19"/>
        <w:spacing w:line="360" w:lineRule="auto"/>
        <w:ind w:firstLine="480" w:firstLineChars="200"/>
        <w:rPr>
          <w:rFonts w:hAnsi="宋体" w:eastAsia="宋体" w:cs="宋体"/>
          <w:sz w:val="24"/>
          <w:szCs w:val="24"/>
          <w:highlight w:val="none"/>
        </w:rPr>
      </w:pPr>
      <w:r>
        <w:rPr>
          <w:rFonts w:hint="eastAsia" w:hAnsi="宋体" w:eastAsia="宋体" w:cs="宋体"/>
          <w:color w:val="000000"/>
          <w:sz w:val="24"/>
          <w:szCs w:val="24"/>
          <w:highlight w:val="none"/>
        </w:rPr>
        <w:t>见《投标须知前附表》。</w:t>
      </w:r>
    </w:p>
    <w:p>
      <w:pPr>
        <w:spacing w:line="360" w:lineRule="auto"/>
        <w:ind w:firstLine="482" w:firstLineChars="200"/>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pPr>
        <w:spacing w:line="360" w:lineRule="auto"/>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pPr>
        <w:keepNext/>
        <w:keepLines/>
        <w:numPr>
          <w:ilvl w:val="0"/>
          <w:numId w:val="3"/>
        </w:numPr>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pPr>
        <w:pStyle w:val="19"/>
        <w:spacing w:line="360" w:lineRule="auto"/>
        <w:ind w:firstLine="480" w:firstLineChars="200"/>
        <w:rPr>
          <w:rFonts w:hAnsi="宋体" w:eastAsia="宋体" w:cs="宋体"/>
          <w:sz w:val="24"/>
          <w:szCs w:val="24"/>
          <w:highlight w:val="none"/>
        </w:rPr>
      </w:pPr>
      <w:r>
        <w:rPr>
          <w:rFonts w:hint="eastAsia" w:hAnsi="宋体" w:eastAsia="宋体" w:cs="宋体"/>
          <w:color w:val="000000"/>
          <w:sz w:val="24"/>
          <w:szCs w:val="24"/>
          <w:highlight w:val="none"/>
        </w:rPr>
        <w:t>交货期、交货地点、交货方式、付款方式及比例见《投标须知前附表》第7条。</w:t>
      </w:r>
    </w:p>
    <w:p>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四、投标说明</w:t>
      </w:r>
    </w:p>
    <w:p>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1.报名方式</w:t>
      </w:r>
    </w:p>
    <w:p>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投标人根据招标人在中国重汽官网等公开媒体上发布的招标信息，在“中国重汽e采通”平台报名。按照中国重汽e采通“SRM非生产供应商注册手册（附件15）”进行注册</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注册时配套能力中的供货类别选择“直管单位非生产招标 / 研发试验类设备 / 研发试验类设备（产品试验检测中心）”对应的业务主管部门为“产品试验检测中心”，提交注册后请电话告知招标方联系人。</w:t>
      </w:r>
    </w:p>
    <w:p>
      <w:pPr>
        <w:spacing w:line="360" w:lineRule="auto"/>
        <w:ind w:firstLine="480" w:firstLineChars="200"/>
        <w:rPr>
          <w:rFonts w:ascii="宋体" w:hAnsi="宋体" w:eastAsia="宋体" w:cs="宋体"/>
          <w:color w:val="000000"/>
          <w:sz w:val="24"/>
          <w:szCs w:val="24"/>
          <w:highlight w:val="none"/>
        </w:rPr>
      </w:pPr>
      <w:r>
        <w:rPr>
          <w:rFonts w:hint="eastAsia" w:eastAsia="宋体" w:cs="Times New Roman"/>
          <w:color w:val="000000"/>
          <w:sz w:val="24"/>
          <w:szCs w:val="24"/>
          <w:highlight w:val="none"/>
        </w:rPr>
        <w:t>注册完毕后按照</w:t>
      </w:r>
      <w:r>
        <w:rPr>
          <w:rFonts w:hint="eastAsia" w:ascii="宋体" w:hAnsi="宋体" w:eastAsia="宋体" w:cs="宋体"/>
          <w:b/>
          <w:color w:val="000000"/>
          <w:sz w:val="24"/>
          <w:szCs w:val="24"/>
          <w:highlight w:val="none"/>
        </w:rPr>
        <w:t>“SRM系统供应商用户手册（附件16）”登录系统，</w:t>
      </w:r>
      <w:r>
        <w:rPr>
          <w:rFonts w:hint="eastAsia" w:ascii="宋体" w:hAnsi="宋体" w:eastAsia="宋体" w:cs="宋体"/>
          <w:color w:val="000000"/>
          <w:sz w:val="24"/>
          <w:szCs w:val="24"/>
          <w:highlight w:val="none"/>
        </w:rPr>
        <w:t>进入“供应商应标”，选择对应的项目，点击“应标”后按照招标文件第三部分投标文件组成资格证明文件中的1.1-1.13准备资料并上传，资质审查通过即为报名成功，公示期间请尽快报名。</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投标保证金缴纳的时候，</w:t>
      </w:r>
      <w:r>
        <w:rPr>
          <w:rFonts w:hint="eastAsia" w:ascii="宋体" w:hAnsi="宋体" w:eastAsia="宋体" w:cs="宋体"/>
          <w:b/>
          <w:bCs/>
          <w:color w:val="000000"/>
          <w:sz w:val="24"/>
          <w:szCs w:val="24"/>
          <w:highlight w:val="none"/>
        </w:rPr>
        <w:t>务必备注所投标的项目名称</w:t>
      </w:r>
      <w:r>
        <w:rPr>
          <w:rFonts w:hint="eastAsia" w:ascii="宋体" w:hAnsi="宋体" w:eastAsia="宋体" w:cs="宋体"/>
          <w:color w:val="000000"/>
          <w:sz w:val="24"/>
          <w:szCs w:val="24"/>
          <w:highlight w:val="none"/>
        </w:rPr>
        <w:t>。</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不按要求报名的，或因未提供相关信息导致后期无法退回保证金的，需投标人承担责任。</w:t>
      </w:r>
    </w:p>
    <w:p>
      <w:pPr>
        <w:keepNext/>
        <w:keepLines/>
        <w:numPr>
          <w:ilvl w:val="0"/>
          <w:numId w:val="4"/>
        </w:numPr>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投标条件</w:t>
      </w:r>
    </w:p>
    <w:p>
      <w:pPr>
        <w:pStyle w:val="19"/>
        <w:spacing w:line="360" w:lineRule="auto"/>
        <w:ind w:firstLine="480"/>
        <w:rPr>
          <w:rFonts w:hAnsi="宋体" w:eastAsia="宋体" w:cs="宋体"/>
          <w:b/>
          <w:color w:val="000000"/>
          <w:sz w:val="24"/>
          <w:szCs w:val="24"/>
          <w:highlight w:val="none"/>
        </w:rPr>
      </w:pPr>
      <w:r>
        <w:rPr>
          <w:rFonts w:hint="eastAsia" w:hAnsi="宋体" w:eastAsia="宋体" w:cs="宋体"/>
          <w:b/>
          <w:bCs/>
          <w:color w:val="000000"/>
          <w:sz w:val="24"/>
          <w:szCs w:val="24"/>
          <w:highlight w:val="none"/>
        </w:rPr>
        <w:t>投标条件详见招标文件“第一部分投标须知前附表1.6”。</w:t>
      </w:r>
    </w:p>
    <w:p>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3.报价</w:t>
      </w:r>
    </w:p>
    <w:p>
      <w:pPr>
        <w:pStyle w:val="19"/>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3.1</w:t>
      </w:r>
      <w:r>
        <w:rPr>
          <w:rFonts w:hint="eastAsia" w:hAnsi="宋体" w:eastAsia="宋体" w:cs="宋体"/>
          <w:sz w:val="24"/>
          <w:szCs w:val="24"/>
          <w:highlight w:val="none"/>
        </w:rPr>
        <w:t>本次招投标为</w:t>
      </w:r>
      <w:r>
        <w:rPr>
          <w:rFonts w:hint="eastAsia" w:hAnsi="宋体" w:eastAsia="宋体" w:cs="宋体"/>
          <w:color w:val="000000"/>
          <w:sz w:val="24"/>
          <w:szCs w:val="24"/>
          <w:highlight w:val="none"/>
        </w:rPr>
        <w:t>公开招标</w:t>
      </w:r>
      <w:r>
        <w:rPr>
          <w:rFonts w:hint="eastAsia" w:hAnsi="宋体" w:eastAsia="宋体" w:cs="宋体"/>
          <w:b/>
          <w:sz w:val="24"/>
          <w:szCs w:val="24"/>
          <w:highlight w:val="none"/>
        </w:rPr>
        <w:t>；</w:t>
      </w:r>
      <w:r>
        <w:rPr>
          <w:rFonts w:hint="eastAsia" w:hAnsi="宋体" w:eastAsia="宋体" w:cs="宋体"/>
          <w:color w:val="000000"/>
          <w:sz w:val="24"/>
          <w:szCs w:val="24"/>
          <w:highlight w:val="none"/>
        </w:rPr>
        <w:t>评标流程以及规则详见本部分第六条评标原则。</w:t>
      </w:r>
    </w:p>
    <w:p>
      <w:pPr>
        <w:spacing w:line="360" w:lineRule="auto"/>
        <w:ind w:firstLine="235" w:firstLineChars="98"/>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w:t>
      </w:r>
      <w:r>
        <w:rPr>
          <w:rFonts w:hint="eastAsia" w:ascii="宋体" w:hAnsi="宋体" w:eastAsia="宋体" w:cs="宋体"/>
          <w:b/>
          <w:bCs/>
          <w:color w:val="000000"/>
          <w:sz w:val="24"/>
          <w:szCs w:val="24"/>
          <w:highlight w:val="none"/>
        </w:rPr>
        <w:t>所有设备的报价货币单位为：</w:t>
      </w:r>
      <w:r>
        <w:rPr>
          <w:rFonts w:hint="eastAsia" w:ascii="宋体" w:hAnsi="宋体" w:eastAsia="宋体" w:cs="宋体"/>
          <w:b/>
          <w:bCs/>
          <w:color w:val="000000"/>
          <w:sz w:val="24"/>
          <w:szCs w:val="24"/>
          <w:highlight w:val="none"/>
          <w:u w:val="single"/>
        </w:rPr>
        <w:t xml:space="preserve">         </w:t>
      </w:r>
      <w:r>
        <w:rPr>
          <w:rFonts w:hint="eastAsia" w:ascii="宋体" w:hAnsi="宋体" w:eastAsia="宋体" w:cs="宋体"/>
          <w:b/>
          <w:bCs/>
          <w:color w:val="000000"/>
          <w:sz w:val="24"/>
          <w:szCs w:val="24"/>
          <w:highlight w:val="none"/>
        </w:rPr>
        <w:t>元【人民币（应同时报含税价和不含税价并写明税率）】。</w:t>
      </w:r>
    </w:p>
    <w:p>
      <w:pPr>
        <w:keepNext/>
        <w:keepLines/>
        <w:spacing w:line="360" w:lineRule="auto"/>
        <w:ind w:firstLine="482" w:firstLineChars="200"/>
        <w:outlineLvl w:val="2"/>
        <w:rPr>
          <w:rFonts w:ascii="宋体" w:hAnsi="宋体" w:eastAsia="宋体" w:cs="宋体"/>
          <w:sz w:val="24"/>
          <w:szCs w:val="24"/>
          <w:highlight w:val="none"/>
        </w:rPr>
      </w:pPr>
      <w:r>
        <w:rPr>
          <w:rFonts w:hint="eastAsia" w:ascii="宋体" w:hAnsi="宋体" w:eastAsia="宋体" w:cs="宋体"/>
          <w:b/>
          <w:bCs/>
          <w:color w:val="000000"/>
          <w:sz w:val="24"/>
          <w:szCs w:val="24"/>
          <w:highlight w:val="none"/>
        </w:rPr>
        <w:t>4.设备要求：</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4.1投标设备技术参数和总体要求按《技术标书》执行；</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4.2设备制造完毕经出厂检验合格后方能发货；</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4.3设备包装按国家或部颁标准执行；</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4.4设备交货要求直接发货至合同指定地点，否则买方有权拒绝接受货物；</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4.5投标企业按技术规范书提报设备详细技术资料；</w:t>
      </w:r>
    </w:p>
    <w:p>
      <w:pPr>
        <w:pStyle w:val="19"/>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4.7设备设施颜色严格执行我公司企业标准《设备设施颜色标识》（Q/Z</w:t>
      </w:r>
      <w:r>
        <w:rPr>
          <w:rFonts w:hint="eastAsia" w:hAnsi="宋体" w:eastAsia="宋体" w:cs="宋体"/>
          <w:color w:val="000000"/>
          <w:sz w:val="24"/>
          <w:szCs w:val="24"/>
          <w:highlight w:val="yellow"/>
        </w:rPr>
        <w:t>Z30070-2021</w:t>
      </w:r>
      <w:r>
        <w:rPr>
          <w:rFonts w:hint="eastAsia" w:hAnsi="宋体" w:eastAsia="宋体" w:cs="宋体"/>
          <w:color w:val="000000"/>
          <w:sz w:val="24"/>
          <w:szCs w:val="24"/>
          <w:highlight w:val="none"/>
        </w:rPr>
        <w:t>）。</w:t>
      </w:r>
    </w:p>
    <w:p>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5.其他要求</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6.询标</w:t>
      </w:r>
    </w:p>
    <w:p>
      <w:pPr>
        <w:keepNext/>
        <w:keepLines/>
        <w:spacing w:line="360" w:lineRule="auto"/>
        <w:ind w:firstLine="480" w:firstLineChars="200"/>
        <w:rPr>
          <w:rFonts w:ascii="宋体" w:hAnsi="宋体" w:eastAsia="宋体" w:cs="宋体"/>
          <w:b/>
          <w:bCs/>
          <w:color w:val="000000"/>
          <w:sz w:val="24"/>
          <w:szCs w:val="24"/>
          <w:highlight w:val="none"/>
        </w:rPr>
      </w:pPr>
      <w:r>
        <w:rPr>
          <w:rFonts w:hint="eastAsia" w:ascii="宋体" w:hAnsi="宋体" w:eastAsia="宋体" w:cs="宋体"/>
          <w:color w:val="000000"/>
          <w:sz w:val="24"/>
          <w:szCs w:val="24"/>
          <w:highlight w:val="none"/>
        </w:rPr>
        <w:t>凡对本次招标提出的询问，均以招标人的书面答复为准。</w:t>
      </w:r>
    </w:p>
    <w:p>
      <w:pPr>
        <w:keepNext/>
        <w:keepLines/>
        <w:spacing w:line="360" w:lineRule="auto"/>
        <w:outlineLvl w:val="1"/>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五、议程安排</w:t>
      </w:r>
    </w:p>
    <w:p>
      <w:pPr>
        <w:keepNext/>
        <w:keepLines/>
        <w:spacing w:line="360" w:lineRule="auto"/>
        <w:ind w:firstLine="482" w:firstLineChars="200"/>
        <w:outlineLvl w:val="2"/>
        <w:rPr>
          <w:rFonts w:ascii="宋体" w:hAnsi="宋体" w:eastAsia="宋体" w:cs="宋体"/>
          <w:color w:val="000000"/>
          <w:sz w:val="24"/>
          <w:szCs w:val="24"/>
          <w:highlight w:val="none"/>
        </w:rPr>
      </w:pPr>
      <w:r>
        <w:rPr>
          <w:rFonts w:hint="eastAsia" w:ascii="宋体" w:hAnsi="宋体" w:eastAsia="宋体" w:cs="宋体"/>
          <w:b/>
          <w:bCs/>
          <w:color w:val="000000"/>
          <w:sz w:val="24"/>
          <w:szCs w:val="24"/>
          <w:highlight w:val="none"/>
        </w:rPr>
        <w:t>1.发标时间</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见《投标须知前附表》2.1。</w:t>
      </w:r>
    </w:p>
    <w:p>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2.发标方式</w:t>
      </w:r>
    </w:p>
    <w:p>
      <w:pPr>
        <w:keepNext/>
        <w:keepLines/>
        <w:spacing w:line="360" w:lineRule="auto"/>
        <w:ind w:firstLine="480" w:firstLineChars="200"/>
        <w:outlineLvl w:val="2"/>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中国重汽官网等公开媒体公布。</w:t>
      </w:r>
    </w:p>
    <w:p>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3.答疑</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见《投标须知前附表》第二条，逾期不受理。</w:t>
      </w:r>
    </w:p>
    <w:p>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4.投标报名</w:t>
      </w:r>
    </w:p>
    <w:p>
      <w:pPr>
        <w:keepNext/>
        <w:keepLines/>
        <w:spacing w:line="360" w:lineRule="auto"/>
        <w:ind w:firstLine="482"/>
        <w:rPr>
          <w:rFonts w:ascii="宋体" w:hAnsi="宋体" w:eastAsia="宋体" w:cs="宋体"/>
          <w:sz w:val="24"/>
          <w:szCs w:val="24"/>
          <w:highlight w:val="none"/>
        </w:rPr>
      </w:pPr>
      <w:r>
        <w:rPr>
          <w:rFonts w:hint="eastAsia" w:ascii="宋体" w:hAnsi="宋体" w:eastAsia="宋体" w:cs="宋体"/>
          <w:sz w:val="24"/>
          <w:szCs w:val="24"/>
          <w:highlight w:val="none"/>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9"/>
        <w:ind w:firstLine="480"/>
        <w:rPr>
          <w:rFonts w:eastAsia="宋体" w:cs="宋体"/>
          <w:highlight w:val="none"/>
        </w:rPr>
      </w:pPr>
      <w:r>
        <w:rPr>
          <w:rFonts w:hint="eastAsia" w:eastAsia="宋体" w:cs="宋体"/>
          <w:highlight w:val="none"/>
        </w:rPr>
        <w:t>4.2招标人银行账户信息如下：见《投标须知前附表》4.2。</w:t>
      </w:r>
    </w:p>
    <w:p>
      <w:pPr>
        <w:pStyle w:val="119"/>
        <w:ind w:firstLine="480"/>
        <w:rPr>
          <w:rFonts w:eastAsia="宋体" w:cs="宋体"/>
          <w:highlight w:val="none"/>
        </w:rPr>
      </w:pPr>
      <w:r>
        <w:rPr>
          <w:rFonts w:hint="eastAsia" w:eastAsia="宋体" w:cs="宋体"/>
          <w:highlight w:val="none"/>
        </w:rPr>
        <w:t>转账附言：公司名称+项目名称+投标保证金；</w:t>
      </w:r>
    </w:p>
    <w:p>
      <w:pPr>
        <w:pStyle w:val="119"/>
        <w:ind w:firstLine="480"/>
        <w:rPr>
          <w:rFonts w:eastAsia="宋体" w:cs="宋体"/>
          <w:highlight w:val="none"/>
        </w:rPr>
      </w:pPr>
      <w:r>
        <w:rPr>
          <w:rFonts w:hint="eastAsia" w:eastAsia="宋体" w:cs="宋体"/>
          <w:highlight w:val="none"/>
        </w:rPr>
        <w:t>对于没有中标的投标人，投标保证金将于招标人内部完成中标人评审并确认最终中标人后在</w:t>
      </w:r>
      <w:r>
        <w:rPr>
          <w:rFonts w:hint="eastAsia" w:eastAsia="宋体" w:cs="宋体"/>
          <w:highlight w:val="none"/>
          <w:lang w:val="en-US" w:eastAsia="zh-CN"/>
        </w:rPr>
        <w:t>一个付款周期</w:t>
      </w:r>
      <w:r>
        <w:rPr>
          <w:rFonts w:hint="eastAsia" w:eastAsia="宋体" w:cs="宋体"/>
          <w:highlight w:val="none"/>
        </w:rPr>
        <w:t>内予以原路返还（无息）；对于中标方，投标保证金将在签订合同后</w:t>
      </w:r>
      <w:r>
        <w:rPr>
          <w:rFonts w:hint="eastAsia" w:eastAsia="宋体" w:cs="宋体"/>
          <w:highlight w:val="none"/>
          <w:lang w:val="en-US" w:eastAsia="zh-CN"/>
        </w:rPr>
        <w:t>一个付款周期</w:t>
      </w:r>
      <w:r>
        <w:rPr>
          <w:rFonts w:hint="eastAsia" w:eastAsia="宋体" w:cs="宋体"/>
          <w:highlight w:val="none"/>
        </w:rPr>
        <w:t>内原路返还（无息）；</w:t>
      </w:r>
    </w:p>
    <w:p>
      <w:pPr>
        <w:pStyle w:val="119"/>
        <w:ind w:firstLine="480"/>
        <w:rPr>
          <w:rFonts w:eastAsia="宋体" w:cs="宋体"/>
          <w:highlight w:val="none"/>
        </w:rPr>
      </w:pPr>
      <w:r>
        <w:rPr>
          <w:rFonts w:hint="eastAsia" w:eastAsia="宋体" w:cs="宋体"/>
          <w:highlight w:val="none"/>
        </w:rPr>
        <w:t>4.3说明</w:t>
      </w:r>
    </w:p>
    <w:p>
      <w:pPr>
        <w:pStyle w:val="119"/>
        <w:ind w:firstLine="480"/>
        <w:rPr>
          <w:rFonts w:eastAsia="宋体" w:cs="宋体"/>
          <w:highlight w:val="none"/>
        </w:rPr>
      </w:pPr>
      <w:r>
        <w:rPr>
          <w:rFonts w:hint="eastAsia" w:eastAsia="宋体" w:cs="宋体"/>
          <w:highlight w:val="none"/>
        </w:rPr>
        <w:t>4.3.1 投标人在向招标人出示《投标保证金缴纳凭证》后方可进行投标；</w:t>
      </w:r>
    </w:p>
    <w:p>
      <w:pPr>
        <w:pStyle w:val="119"/>
        <w:ind w:firstLine="480"/>
        <w:rPr>
          <w:rFonts w:eastAsia="宋体" w:cs="宋体"/>
          <w:highlight w:val="none"/>
        </w:rPr>
      </w:pPr>
      <w:r>
        <w:rPr>
          <w:rFonts w:hint="eastAsia" w:eastAsia="宋体" w:cs="宋体"/>
          <w:highlight w:val="none"/>
        </w:rPr>
        <w:t>4.3.2 发生以下情况时，招标人有权没收保证金：</w:t>
      </w:r>
    </w:p>
    <w:p>
      <w:pPr>
        <w:pStyle w:val="119"/>
        <w:ind w:firstLine="480"/>
        <w:rPr>
          <w:rFonts w:eastAsia="宋体" w:cs="宋体"/>
          <w:highlight w:val="none"/>
        </w:rPr>
      </w:pPr>
      <w:r>
        <w:rPr>
          <w:rFonts w:hint="eastAsia" w:eastAsia="宋体" w:cs="宋体"/>
          <w:highlight w:val="none"/>
        </w:rPr>
        <w:t>4.3.2.1 截至开标前3天，投标人无正当理由且未以书面形式递交说明而在投标截止日不来投标的；</w:t>
      </w:r>
    </w:p>
    <w:p>
      <w:pPr>
        <w:pStyle w:val="119"/>
        <w:ind w:firstLine="480"/>
        <w:rPr>
          <w:rFonts w:eastAsia="宋体" w:cs="宋体"/>
          <w:highlight w:val="none"/>
        </w:rPr>
      </w:pPr>
      <w:r>
        <w:rPr>
          <w:rFonts w:hint="eastAsia" w:eastAsia="宋体" w:cs="宋体"/>
          <w:highlight w:val="none"/>
        </w:rPr>
        <w:t>4.3.2.2 投标人递送投标文件后，无正当理由放弃投标的；</w:t>
      </w:r>
    </w:p>
    <w:p>
      <w:pPr>
        <w:pStyle w:val="119"/>
        <w:ind w:firstLine="480"/>
        <w:rPr>
          <w:rFonts w:eastAsia="宋体" w:cs="宋体"/>
          <w:highlight w:val="none"/>
        </w:rPr>
      </w:pPr>
      <w:r>
        <w:rPr>
          <w:rFonts w:hint="eastAsia" w:eastAsia="宋体" w:cs="宋体"/>
          <w:highlight w:val="none"/>
        </w:rPr>
        <w:t>4.3.2.3若为视频开标，招标过程中澄清函等资料原件未按要求提交的；</w:t>
      </w:r>
    </w:p>
    <w:p>
      <w:pPr>
        <w:pStyle w:val="119"/>
        <w:ind w:firstLine="480"/>
        <w:rPr>
          <w:rFonts w:eastAsia="宋体" w:cs="宋体"/>
          <w:highlight w:val="none"/>
        </w:rPr>
      </w:pPr>
      <w:r>
        <w:rPr>
          <w:rFonts w:hint="eastAsia" w:eastAsia="宋体" w:cs="宋体"/>
          <w:highlight w:val="none"/>
        </w:rPr>
        <w:t>4.3.2.4自中标通知书发出之日起30日内，中标人无正当理由不签订合同的；</w:t>
      </w:r>
    </w:p>
    <w:p>
      <w:pPr>
        <w:pStyle w:val="119"/>
        <w:ind w:firstLine="480"/>
        <w:rPr>
          <w:rFonts w:eastAsia="宋体" w:cs="宋体"/>
          <w:highlight w:val="none"/>
        </w:rPr>
      </w:pPr>
      <w:r>
        <w:rPr>
          <w:rFonts w:hint="eastAsia" w:eastAsia="宋体" w:cs="宋体"/>
          <w:highlight w:val="none"/>
        </w:rPr>
        <w:t>4.3.2.5投标人在投标过程中被查实有串标、围标、陪标等违规违纪行为的；</w:t>
      </w:r>
    </w:p>
    <w:p>
      <w:pPr>
        <w:pStyle w:val="119"/>
        <w:spacing w:line="360" w:lineRule="auto"/>
        <w:ind w:firstLine="48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4.3.2.6投标人有违约违规行为或被投诉、举报的，在调查处理期间，保证金暂不退还，待调查处理结束后按有关规定处理。</w:t>
      </w:r>
    </w:p>
    <w:p>
      <w:pPr>
        <w:pStyle w:val="119"/>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w:t>
      </w:r>
      <w:r>
        <w:rPr>
          <w:rFonts w:hint="eastAsia" w:ascii="宋体" w:hAnsi="宋体" w:eastAsia="宋体" w:cs="宋体"/>
          <w:color w:val="000000"/>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.3.2.</w:t>
      </w:r>
      <w:r>
        <w:rPr>
          <w:rFonts w:hint="eastAsia" w:ascii="宋体" w:hAnsi="宋体" w:eastAsia="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4.3.2.9</w:t>
      </w:r>
      <w:r>
        <w:rPr>
          <w:rFonts w:hint="eastAsia" w:ascii="宋体" w:hAnsi="宋体" w:eastAsia="宋体" w:cs="宋体"/>
          <w:color w:val="000000"/>
          <w:sz w:val="24"/>
          <w:szCs w:val="24"/>
          <w:highlight w:val="none"/>
        </w:rPr>
        <w:t>采购文件规定的其他情形。</w:t>
      </w:r>
    </w:p>
    <w:p>
      <w:pPr>
        <w:pStyle w:val="119"/>
        <w:ind w:firstLine="480"/>
        <w:rPr>
          <w:rFonts w:eastAsia="宋体" w:cs="宋体"/>
          <w:highlight w:val="none"/>
        </w:rPr>
      </w:pPr>
      <w:r>
        <w:rPr>
          <w:rFonts w:hint="eastAsia" w:eastAsia="宋体" w:cs="宋体"/>
          <w:highlight w:val="none"/>
        </w:rPr>
        <w:t>4.4投标报名截止时间</w:t>
      </w:r>
    </w:p>
    <w:p>
      <w:pPr>
        <w:pStyle w:val="119"/>
        <w:ind w:firstLine="480"/>
        <w:rPr>
          <w:rFonts w:eastAsia="宋体" w:cs="宋体"/>
          <w:highlight w:val="none"/>
        </w:rPr>
      </w:pPr>
      <w:r>
        <w:rPr>
          <w:rFonts w:hint="eastAsia" w:eastAsia="宋体" w:cs="宋体"/>
          <w:highlight w:val="none"/>
        </w:rPr>
        <w:t>报名方式：见《投标须知前附表》2.3。</w:t>
      </w:r>
    </w:p>
    <w:p>
      <w:pPr>
        <w:pStyle w:val="119"/>
        <w:ind w:firstLine="480"/>
        <w:rPr>
          <w:rFonts w:eastAsia="宋体" w:cs="宋体"/>
          <w:highlight w:val="none"/>
        </w:rPr>
      </w:pPr>
      <w:r>
        <w:rPr>
          <w:rFonts w:hint="eastAsia" w:eastAsia="宋体" w:cs="宋体"/>
          <w:highlight w:val="none"/>
        </w:rPr>
        <w:t>报名提交资料：均为盖章电子扫描版，用“公司名称+文件名称”命名。</w:t>
      </w:r>
    </w:p>
    <w:p>
      <w:pPr>
        <w:numPr>
          <w:ilvl w:val="0"/>
          <w:numId w:val="5"/>
        </w:numPr>
        <w:spacing w:line="360" w:lineRule="auto"/>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如果是授权委托人投标，</w:t>
      </w:r>
      <w:r>
        <w:rPr>
          <w:rFonts w:hint="eastAsia" w:ascii="宋体" w:hAnsi="宋体" w:eastAsia="宋体" w:cs="宋体"/>
          <w:color w:val="000000"/>
          <w:sz w:val="24"/>
          <w:szCs w:val="24"/>
          <w:highlight w:val="none"/>
        </w:rPr>
        <w:t>要提交营业执照副本、法人授权委托书（含法人及授权人身份信息证明、授权代表联系方式）。</w:t>
      </w:r>
    </w:p>
    <w:p>
      <w:pPr>
        <w:numPr>
          <w:ilvl w:val="0"/>
          <w:numId w:val="5"/>
        </w:numPr>
        <w:spacing w:line="360" w:lineRule="auto"/>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如果是法人参加投标</w:t>
      </w:r>
      <w:r>
        <w:rPr>
          <w:rFonts w:hint="eastAsia" w:ascii="宋体" w:hAnsi="宋体" w:eastAsia="宋体" w:cs="宋体"/>
          <w:color w:val="000000"/>
          <w:sz w:val="24"/>
          <w:szCs w:val="24"/>
          <w:highlight w:val="none"/>
        </w:rPr>
        <w:t>，要提交营业执照副本、法人代表证明文件。</w:t>
      </w:r>
    </w:p>
    <w:p>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5.开标时间</w:t>
      </w:r>
    </w:p>
    <w:p>
      <w:pPr>
        <w:keepNext/>
        <w:keepLines/>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见《投标须知前附表》5.1，若有变动另行通知。</w:t>
      </w:r>
    </w:p>
    <w:p>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6.开标方式</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原则上来现场参与开标。如因特殊情况无法现场参与，需在开标前三日，通知招标人，由招标人创建视频链接，并在报名结束后统一通知。</w:t>
      </w:r>
    </w:p>
    <w:p>
      <w:pPr>
        <w:spacing w:line="360" w:lineRule="auto"/>
        <w:jc w:val="left"/>
        <w:outlineLvl w:val="1"/>
        <w:rPr>
          <w:rFonts w:ascii="宋体" w:hAnsi="宋体" w:eastAsia="宋体" w:cs="宋体"/>
          <w:b/>
          <w:sz w:val="24"/>
          <w:szCs w:val="24"/>
          <w:highlight w:val="none"/>
        </w:rPr>
      </w:pPr>
      <w:bookmarkStart w:id="6" w:name="_Toc33285487"/>
      <w:bookmarkStart w:id="7" w:name="_Toc33266914"/>
      <w:bookmarkStart w:id="8" w:name="_Toc33265653"/>
      <w:bookmarkStart w:id="9" w:name="_Toc33266627"/>
      <w:bookmarkStart w:id="10" w:name="_Toc33266950"/>
      <w:bookmarkStart w:id="11" w:name="_Toc33267001"/>
      <w:bookmarkStart w:id="12" w:name="_Toc33265752"/>
      <w:r>
        <w:rPr>
          <w:rFonts w:hint="eastAsia" w:ascii="宋体" w:hAnsi="宋体" w:eastAsia="宋体" w:cs="宋体"/>
          <w:b/>
          <w:sz w:val="24"/>
          <w:szCs w:val="24"/>
          <w:highlight w:val="none"/>
        </w:rPr>
        <w:t>六、评价原则</w:t>
      </w:r>
      <w:bookmarkEnd w:id="6"/>
      <w:bookmarkEnd w:id="7"/>
      <w:bookmarkEnd w:id="8"/>
      <w:bookmarkEnd w:id="9"/>
      <w:bookmarkEnd w:id="10"/>
      <w:bookmarkEnd w:id="11"/>
      <w:bookmarkEnd w:id="12"/>
      <w:bookmarkStart w:id="13" w:name="_Toc395116633"/>
    </w:p>
    <w:bookmarkEnd w:id="13"/>
    <w:p>
      <w:pPr>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1.评标</w:t>
      </w:r>
    </w:p>
    <w:p>
      <w:pPr>
        <w:adjustRightInd w:val="0"/>
        <w:snapToGrid w:val="0"/>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sz w:val="24"/>
          <w:szCs w:val="24"/>
          <w:highlight w:val="none"/>
        </w:rPr>
        <w:t>本次招标</w:t>
      </w:r>
      <w:bookmarkStart w:id="14" w:name="_Toc33285489"/>
      <w:bookmarkStart w:id="15" w:name="_Toc33266915"/>
      <w:bookmarkStart w:id="16" w:name="_Toc33266951"/>
      <w:bookmarkStart w:id="17" w:name="_Toc33265753"/>
      <w:bookmarkStart w:id="18" w:name="_Toc33266628"/>
      <w:bookmarkStart w:id="19" w:name="_Toc395116634"/>
      <w:bookmarkStart w:id="20" w:name="_Toc33265654"/>
      <w:bookmarkStart w:id="21" w:name="_Toc33267002"/>
      <w:r>
        <w:rPr>
          <w:rFonts w:hint="eastAsia" w:ascii="宋体" w:hAnsi="宋体" w:eastAsia="宋体" w:cs="宋体"/>
          <w:sz w:val="24"/>
          <w:szCs w:val="24"/>
          <w:highlight w:val="none"/>
        </w:rPr>
        <w:t>采用</w:t>
      </w:r>
      <w:r>
        <w:rPr>
          <w:rFonts w:hint="eastAsia" w:ascii="宋体" w:hAnsi="宋体" w:eastAsia="宋体" w:cs="宋体"/>
          <w:sz w:val="24"/>
          <w:szCs w:val="24"/>
          <w:highlight w:val="none"/>
          <w:lang w:val="en-US" w:eastAsia="zh-CN"/>
        </w:rPr>
        <w:t>综合评标法</w:t>
      </w:r>
      <w:r>
        <w:rPr>
          <w:rFonts w:hint="eastAsia" w:ascii="宋体" w:hAnsi="宋体" w:eastAsia="宋体" w:cs="宋体"/>
          <w:sz w:val="24"/>
          <w:szCs w:val="24"/>
          <w:highlight w:val="none"/>
        </w:rPr>
        <w:t>。</w:t>
      </w:r>
      <w:r>
        <w:rPr>
          <w:rFonts w:hint="eastAsia" w:ascii="宋体" w:hAnsi="宋体" w:eastAsia="宋体" w:cs="宋体"/>
          <w:b/>
          <w:color w:val="000000"/>
          <w:sz w:val="24"/>
          <w:szCs w:val="24"/>
          <w:highlight w:val="none"/>
        </w:rPr>
        <w:t>对未中标单位不做任何解释。</w:t>
      </w:r>
    </w:p>
    <w:bookmarkEnd w:id="14"/>
    <w:bookmarkEnd w:id="15"/>
    <w:bookmarkEnd w:id="16"/>
    <w:bookmarkEnd w:id="17"/>
    <w:bookmarkEnd w:id="18"/>
    <w:bookmarkEnd w:id="19"/>
    <w:bookmarkEnd w:id="20"/>
    <w:bookmarkEnd w:id="21"/>
    <w:p>
      <w:pPr>
        <w:spacing w:line="360" w:lineRule="auto"/>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评标流程：</w:t>
      </w:r>
    </w:p>
    <w:p>
      <w:pPr>
        <w:pStyle w:val="19"/>
        <w:spacing w:line="360" w:lineRule="auto"/>
        <w:ind w:firstLine="482" w:firstLineChars="200"/>
        <w:rPr>
          <w:rFonts w:hAnsi="宋体" w:eastAsia="宋体" w:cs="宋体"/>
          <w:sz w:val="24"/>
          <w:szCs w:val="24"/>
          <w:highlight w:val="none"/>
        </w:rPr>
      </w:pPr>
      <w:r>
        <w:rPr>
          <w:rFonts w:hint="eastAsia" w:hAnsi="宋体" w:eastAsia="宋体" w:cs="宋体"/>
          <w:b/>
          <w:color w:val="000000"/>
          <w:sz w:val="24"/>
          <w:szCs w:val="24"/>
          <w:highlight w:val="none"/>
        </w:rPr>
        <w:t>投标文件包含《投标文件（资质标）》、《投标文件（技术标）》、《投标文件（商务标）》（开标一览表），共计三个文件。</w:t>
      </w:r>
    </w:p>
    <w:p>
      <w:pPr>
        <w:numPr>
          <w:ilvl w:val="0"/>
          <w:numId w:val="6"/>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应标资格审查：在“中国重汽e采通”应标报名时，</w:t>
      </w:r>
      <w:r>
        <w:rPr>
          <w:rFonts w:hint="eastAsia" w:ascii="宋体" w:hAnsi="宋体" w:eastAsia="宋体" w:cs="宋体"/>
          <w:b/>
          <w:bCs/>
          <w:color w:val="000000"/>
          <w:sz w:val="24"/>
          <w:szCs w:val="24"/>
          <w:highlight w:val="none"/>
        </w:rPr>
        <w:t>按照第三部分第三条投标文件组成资格证明文件中的1.1-1.1</w:t>
      </w:r>
      <w:r>
        <w:rPr>
          <w:rFonts w:hint="eastAsia" w:ascii="宋体" w:hAnsi="宋体" w:eastAsia="宋体" w:cs="宋体"/>
          <w:b/>
          <w:bCs/>
          <w:color w:val="000000"/>
          <w:sz w:val="24"/>
          <w:szCs w:val="24"/>
          <w:highlight w:val="none"/>
          <w:lang w:val="en-US" w:eastAsia="zh-CN"/>
        </w:rPr>
        <w:t>3</w:t>
      </w:r>
      <w:r>
        <w:rPr>
          <w:rFonts w:hint="eastAsia" w:ascii="宋体" w:hAnsi="宋体" w:eastAsia="宋体" w:cs="宋体"/>
          <w:b/>
          <w:bCs/>
          <w:color w:val="000000"/>
          <w:sz w:val="24"/>
          <w:szCs w:val="24"/>
          <w:highlight w:val="none"/>
        </w:rPr>
        <w:t>准备资料，上传完毕后，等待审核</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yellow"/>
        </w:rPr>
        <w:t>请投标人确认中国重汽e采通系统中供应商信息完整、准确，因供应商信息不全或错误导致的报名不成功，由投标人自行承担。</w:t>
      </w:r>
    </w:p>
    <w:p>
      <w:pPr>
        <w:numPr>
          <w:ilvl w:val="0"/>
          <w:numId w:val="7"/>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通过应标资格审查的单位进入投标环节，按照“SRM系统供应商用户手册（附件16）”，在重汽e采通平台投递电子标书（包含资质标、技术标、商务标）；没有通过应标资质审查的单位不能进入投标环节；</w:t>
      </w:r>
    </w:p>
    <w:p>
      <w:pPr>
        <w:numPr>
          <w:ilvl w:val="0"/>
          <w:numId w:val="6"/>
        </w:numPr>
        <w:spacing w:line="360" w:lineRule="auto"/>
        <w:rPr>
          <w:rFonts w:ascii="宋体" w:hAnsi="宋体" w:eastAsia="宋体" w:cs="宋体"/>
          <w:b/>
          <w:color w:val="000000"/>
          <w:sz w:val="24"/>
          <w:szCs w:val="24"/>
          <w:highlight w:val="none"/>
        </w:rPr>
      </w:pPr>
      <w:r>
        <w:rPr>
          <w:rFonts w:hint="eastAsia" w:ascii="宋体" w:hAnsi="宋体" w:eastAsia="宋体" w:cs="宋体"/>
          <w:b/>
          <w:sz w:val="24"/>
          <w:szCs w:val="24"/>
          <w:highlight w:val="none"/>
        </w:rPr>
        <w:t>资质评审：资质审核通过的单位，可以进入</w:t>
      </w:r>
      <w:r>
        <w:rPr>
          <w:rFonts w:hint="eastAsia" w:ascii="宋体" w:hAnsi="宋体" w:eastAsia="宋体" w:cs="宋体"/>
          <w:b/>
          <w:color w:val="000000"/>
          <w:sz w:val="24"/>
          <w:szCs w:val="24"/>
          <w:highlight w:val="none"/>
        </w:rPr>
        <w:t>公开唱标环节；</w:t>
      </w:r>
    </w:p>
    <w:p>
      <w:pPr>
        <w:numPr>
          <w:ilvl w:val="0"/>
          <w:numId w:val="8"/>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公开唱标：公示资质标入围单位的开标价格及商务条款响应情况</w:t>
      </w:r>
      <w:r>
        <w:rPr>
          <w:rFonts w:hint="eastAsia" w:ascii="宋体" w:hAnsi="宋体" w:eastAsia="宋体" w:cs="宋体"/>
          <w:b/>
          <w:sz w:val="24"/>
          <w:szCs w:val="24"/>
          <w:highlight w:val="none"/>
        </w:rPr>
        <w:t>；</w:t>
      </w:r>
    </w:p>
    <w:p>
      <w:pPr>
        <w:numPr>
          <w:ilvl w:val="0"/>
          <w:numId w:val="8"/>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技术标评审</w:t>
      </w:r>
      <w:r>
        <w:rPr>
          <w:rFonts w:hint="eastAsia" w:ascii="宋体" w:hAnsi="宋体" w:eastAsia="宋体" w:cs="宋体"/>
          <w:b/>
          <w:sz w:val="24"/>
          <w:szCs w:val="24"/>
          <w:highlight w:val="none"/>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4"/>
          <w:szCs w:val="24"/>
          <w:highlight w:val="none"/>
        </w:rPr>
        <w:t>技术标评分标准见附件14；</w:t>
      </w:r>
    </w:p>
    <w:p>
      <w:pPr>
        <w:numPr>
          <w:ilvl w:val="0"/>
          <w:numId w:val="9"/>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rPr>
        <w:t>商务标评审：商务条款相应确认→价格澄清→商务标评审；评审期间产生的商务价格澄清均由投标人在重汽e采通平台限时内完成提交；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注意：投标人均需要自带笔记本电脑在重汽e采通进行自主投标和提交澄清函；投标和提交澄清函均有时间限制，超时未提交的按无效处理。</w:t>
      </w:r>
    </w:p>
    <w:p>
      <w:pPr>
        <w:numPr>
          <w:ilvl w:val="0"/>
          <w:numId w:val="10"/>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rPr>
        <w:t>中标人确定：</w:t>
      </w:r>
      <w:r>
        <w:rPr>
          <w:rFonts w:hint="eastAsia" w:ascii="宋体" w:hAnsi="宋体" w:eastAsia="宋体" w:cs="Times New Roman"/>
          <w:b/>
          <w:sz w:val="24"/>
          <w:szCs w:val="24"/>
          <w:highlight w:val="none"/>
          <w:lang w:val="en-US" w:eastAsia="zh-CN"/>
        </w:rPr>
        <w:t>在满足招标方技术要求的前提下</w:t>
      </w:r>
      <w:r>
        <w:rPr>
          <w:rFonts w:hint="eastAsia" w:ascii="宋体" w:hAnsi="宋体" w:eastAsia="宋体" w:cs="Times New Roman"/>
          <w:b/>
          <w:sz w:val="24"/>
          <w:szCs w:val="24"/>
          <w:highlight w:val="none"/>
        </w:rPr>
        <w:t>，原则上综合评标法</w:t>
      </w:r>
      <w:r>
        <w:rPr>
          <w:rFonts w:hint="eastAsia" w:ascii="宋体" w:hAnsi="宋体" w:eastAsia="宋体" w:cs="Times New Roman"/>
          <w:b/>
          <w:sz w:val="24"/>
          <w:szCs w:val="24"/>
          <w:highlight w:val="none"/>
          <w:lang w:eastAsia="zh-CN"/>
        </w:rPr>
        <w:t>。</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highlight w:val="none"/>
          <w:lang w:bidi="ar"/>
        </w:rPr>
        <w:t>变更意向中标人</w:t>
      </w:r>
      <w:r>
        <w:rPr>
          <w:rFonts w:hint="eastAsia" w:ascii="宋体" w:hAnsi="宋体" w:eastAsia="宋体" w:cs="宋体"/>
          <w:color w:val="000000"/>
          <w:sz w:val="24"/>
          <w:szCs w:val="24"/>
          <w:highlight w:val="none"/>
        </w:rPr>
        <w:t>。</w:t>
      </w:r>
    </w:p>
    <w:p>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七、合同签订</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1.招标人根据评标工作小组的评标结果确定中标人，在</w:t>
      </w:r>
      <w:r>
        <w:rPr>
          <w:rFonts w:hint="eastAsia" w:ascii="Times New Roman" w:hAnsi="Times New Roman" w:eastAsia="宋体" w:cs="Times New Roman"/>
          <w:color w:val="000000"/>
          <w:sz w:val="24"/>
          <w:szCs w:val="24"/>
          <w:highlight w:val="none"/>
        </w:rPr>
        <w:t>中国</w:t>
      </w:r>
      <w:r>
        <w:rPr>
          <w:rFonts w:hint="eastAsia" w:ascii="宋体" w:hAnsi="宋体" w:eastAsia="宋体" w:cs="宋体"/>
          <w:color w:val="000000"/>
          <w:sz w:val="24"/>
          <w:szCs w:val="24"/>
          <w:highlight w:val="none"/>
        </w:rPr>
        <w:t>重汽e采通平台公布中标结果，并发送中标通知。</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2.中标人应该在中标通知书规定的时间、地点与招标人签订采购合同，否则按照开标后撤回投标处理。</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5.合同以双方最终签署的版本为准。</w:t>
      </w:r>
    </w:p>
    <w:p>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八、废标及终止招标</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pPr>
        <w:pStyle w:val="19"/>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pPr>
        <w:pStyle w:val="19"/>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pPr>
        <w:pStyle w:val="19"/>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22" w:name="OLE_LINK29"/>
      <w:bookmarkStart w:id="23" w:name="OLE_LINK27"/>
      <w:bookmarkStart w:id="24" w:name="OLE_LINK26"/>
      <w:bookmarkStart w:id="25" w:name="OLE_LINK25"/>
      <w:bookmarkStart w:id="26" w:name="OLE_LINK28"/>
      <w:r>
        <w:rPr>
          <w:rFonts w:hint="eastAsia" w:ascii="宋体" w:hAnsi="宋体" w:eastAsia="宋体" w:cs="宋体"/>
          <w:bCs/>
          <w:sz w:val="24"/>
          <w:szCs w:val="24"/>
          <w:highlight w:val="none"/>
        </w:rPr>
        <w:t>；</w:t>
      </w:r>
      <w:bookmarkEnd w:id="22"/>
      <w:bookmarkEnd w:id="23"/>
      <w:bookmarkEnd w:id="24"/>
      <w:bookmarkEnd w:id="25"/>
      <w:bookmarkEnd w:id="26"/>
    </w:p>
    <w:p>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pPr>
        <w:pStyle w:val="19"/>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ascii="宋体" w:hAnsi="宋体" w:eastAsia="宋体" w:cs="宋体"/>
          <w:b/>
          <w:color w:val="000000"/>
          <w:sz w:val="24"/>
          <w:szCs w:val="24"/>
          <w:highlight w:val="none"/>
        </w:rPr>
      </w:pPr>
      <w:r>
        <w:rPr>
          <w:rFonts w:hint="eastAsia" w:ascii="宋体" w:hAnsi="宋体" w:eastAsia="宋体" w:cs="宋体"/>
          <w:b/>
          <w:bCs/>
          <w:sz w:val="24"/>
          <w:szCs w:val="24"/>
          <w:highlight w:val="none"/>
        </w:rPr>
        <w:t>九、本次招标最终解释权</w:t>
      </w:r>
      <w:r>
        <w:rPr>
          <w:rFonts w:hint="eastAsia" w:ascii="宋体" w:hAnsi="宋体" w:eastAsia="宋体" w:cs="宋体"/>
          <w:b/>
          <w:color w:val="000000"/>
          <w:sz w:val="24"/>
          <w:szCs w:val="24"/>
          <w:highlight w:val="none"/>
        </w:rPr>
        <w:t>归</w:t>
      </w:r>
      <w:r>
        <w:rPr>
          <w:rFonts w:hint="eastAsia" w:ascii="宋体" w:hAnsi="宋体" w:eastAsia="宋体" w:cs="宋体"/>
          <w:b/>
          <w:color w:val="000000"/>
          <w:sz w:val="24"/>
          <w:szCs w:val="24"/>
          <w:highlight w:val="none"/>
          <w:lang w:eastAsia="zh-CN"/>
        </w:rPr>
        <w:t>中国重汽集团济南动力有限公司</w:t>
      </w:r>
      <w:r>
        <w:rPr>
          <w:rFonts w:hint="eastAsia" w:ascii="宋体" w:hAnsi="宋体" w:eastAsia="宋体" w:cs="宋体"/>
          <w:b/>
          <w:color w:val="000000"/>
          <w:sz w:val="24"/>
          <w:szCs w:val="24"/>
          <w:highlight w:val="none"/>
        </w:rPr>
        <w:t>。</w:t>
      </w:r>
    </w:p>
    <w:p>
      <w:pPr>
        <w:pStyle w:val="19"/>
        <w:spacing w:line="360" w:lineRule="auto"/>
        <w:jc w:val="center"/>
        <w:rPr>
          <w:rFonts w:hAnsi="宋体" w:eastAsia="宋体" w:cs="宋体"/>
          <w:b/>
          <w:bCs/>
          <w:kern w:val="44"/>
          <w:sz w:val="24"/>
          <w:szCs w:val="24"/>
          <w:highlight w:val="none"/>
        </w:rPr>
        <w:sectPr>
          <w:footerReference r:id="rId9" w:type="default"/>
          <w:pgSz w:w="11907" w:h="16840"/>
          <w:pgMar w:top="1304" w:right="1418" w:bottom="1304" w:left="1418" w:header="724" w:footer="851" w:gutter="0"/>
          <w:pgNumType w:fmt="decimal"/>
          <w:cols w:space="720" w:num="1"/>
          <w:docGrid w:linePitch="290" w:charSpace="-3931"/>
        </w:sectPr>
      </w:pPr>
    </w:p>
    <w:p>
      <w:pPr>
        <w:pStyle w:val="19"/>
        <w:numPr>
          <w:ilvl w:val="255"/>
          <w:numId w:val="0"/>
        </w:numPr>
        <w:jc w:val="center"/>
        <w:outlineLvl w:val="0"/>
        <w:rPr>
          <w:rFonts w:ascii="Calibri" w:hAnsi="Calibri" w:eastAsia="宋体" w:cs="Times New Roman"/>
          <w:b/>
          <w:bCs/>
          <w:kern w:val="44"/>
          <w:sz w:val="36"/>
          <w:szCs w:val="44"/>
          <w:highlight w:val="none"/>
        </w:rPr>
      </w:pPr>
      <w:bookmarkStart w:id="27" w:name="_Toc22879"/>
      <w:r>
        <w:rPr>
          <w:rFonts w:hint="eastAsia" w:ascii="Calibri" w:hAnsi="Calibri" w:eastAsia="宋体" w:cs="Times New Roman"/>
          <w:b/>
          <w:bCs/>
          <w:kern w:val="44"/>
          <w:sz w:val="36"/>
          <w:szCs w:val="44"/>
          <w:highlight w:val="none"/>
        </w:rPr>
        <w:t>第三部分 投标文件编制</w:t>
      </w:r>
      <w:bookmarkEnd w:id="27"/>
    </w:p>
    <w:p>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一、投标文件的编制</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2.投标文件和与投标有关的所有文件均应使用中文。</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3.除投标文件的技术规格中另有规定外，投标文件中所使用的计量单位应为中华人民共和国法定计量单位。</w:t>
      </w:r>
    </w:p>
    <w:p>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二、投标文件资料</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1.投标人所投标设备详细技术资料清单，在标书中列示说明；</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2.投标人完整的技术支持与售后服务实施方案，在标书中列示说明，包含但不限于以下内容：</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B、售后服务机构或网点（名称、地址、联系人、电话）。</w:t>
      </w:r>
    </w:p>
    <w:p>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C、针对本项目的技术服务团队情况（人员数量、姓名、电话、专业资质等）。</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D、日常维护保养及故障排除措施保证。</w:t>
      </w:r>
    </w:p>
    <w:p>
      <w:pPr>
        <w:spacing w:line="360" w:lineRule="auto"/>
        <w:ind w:firstLine="480" w:firstLineChars="200"/>
        <w:rPr>
          <w:rFonts w:ascii="宋体" w:hAnsi="宋体" w:eastAsia="宋体" w:cs="宋体"/>
          <w:sz w:val="24"/>
          <w:szCs w:val="24"/>
          <w:highlight w:val="none"/>
        </w:rPr>
      </w:pPr>
      <w:r>
        <w:rPr>
          <w:rFonts w:hint="eastAsia" w:ascii="宋体" w:hAnsi="宋体" w:eastAsia="宋体" w:cs="宋体"/>
          <w:color w:val="000000"/>
          <w:sz w:val="24"/>
          <w:szCs w:val="24"/>
          <w:highlight w:val="none"/>
        </w:rPr>
        <w:t>3.投标人关于包装、运输、检验、交付、安装、调试、培训等方案，均需在投标文件中列示说明。</w:t>
      </w:r>
    </w:p>
    <w:p>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三、投标文件的组成</w:t>
      </w:r>
    </w:p>
    <w:p>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sz w:val="24"/>
          <w:szCs w:val="24"/>
          <w:highlight w:val="none"/>
        </w:rPr>
        <w:t>本项目投标文件分为</w:t>
      </w:r>
      <w:r>
        <w:rPr>
          <w:rFonts w:hint="eastAsia" w:ascii="宋体" w:hAnsi="宋体" w:eastAsia="宋体" w:cs="宋体"/>
          <w:b/>
          <w:sz w:val="24"/>
          <w:szCs w:val="24"/>
          <w:highlight w:val="none"/>
        </w:rPr>
        <w:t>纸质版</w:t>
      </w:r>
      <w:r>
        <w:rPr>
          <w:rFonts w:hint="eastAsia" w:ascii="宋体" w:hAnsi="宋体" w:eastAsia="宋体" w:cs="宋体"/>
          <w:bCs/>
          <w:sz w:val="24"/>
          <w:szCs w:val="24"/>
          <w:highlight w:val="none"/>
        </w:rPr>
        <w:t>投标文件和</w:t>
      </w:r>
      <w:r>
        <w:rPr>
          <w:rFonts w:hint="eastAsia" w:ascii="宋体" w:hAnsi="宋体" w:eastAsia="宋体" w:cs="宋体"/>
          <w:b/>
          <w:sz w:val="24"/>
          <w:szCs w:val="24"/>
          <w:highlight w:val="none"/>
        </w:rPr>
        <w:t>电子版</w:t>
      </w:r>
      <w:r>
        <w:rPr>
          <w:rFonts w:hint="eastAsia" w:ascii="宋体" w:hAnsi="宋体" w:eastAsia="宋体" w:cs="宋体"/>
          <w:bCs/>
          <w:sz w:val="24"/>
          <w:szCs w:val="24"/>
          <w:highlight w:val="none"/>
        </w:rPr>
        <w:t>投标文件，均由</w:t>
      </w:r>
      <w:r>
        <w:rPr>
          <w:rFonts w:hint="eastAsia" w:ascii="宋体" w:hAnsi="宋体" w:eastAsia="宋体" w:cs="宋体"/>
          <w:b/>
          <w:sz w:val="24"/>
          <w:szCs w:val="24"/>
          <w:highlight w:val="none"/>
        </w:rPr>
        <w:t>《投标文件（资质标）》、《投标文件（技术标）》、《投标文件（商务标）》（开标一览表）</w:t>
      </w:r>
      <w:r>
        <w:rPr>
          <w:rFonts w:hint="eastAsia" w:ascii="宋体" w:hAnsi="宋体" w:eastAsia="宋体" w:cs="宋体"/>
          <w:bCs/>
          <w:sz w:val="24"/>
          <w:szCs w:val="24"/>
          <w:highlight w:val="none"/>
        </w:rPr>
        <w:t>文件组成，共计3</w:t>
      </w:r>
      <w:r>
        <w:rPr>
          <w:rFonts w:hint="eastAsia" w:ascii="宋体" w:hAnsi="宋体" w:eastAsia="宋体" w:cs="宋体"/>
          <w:bCs/>
          <w:color w:val="000000"/>
          <w:sz w:val="24"/>
          <w:szCs w:val="24"/>
          <w:highlight w:val="none"/>
        </w:rPr>
        <w:t>个文件。</w:t>
      </w:r>
    </w:p>
    <w:p>
      <w:pPr>
        <w:spacing w:line="360" w:lineRule="auto"/>
        <w:ind w:firstLine="482" w:firstLineChars="200"/>
        <w:rPr>
          <w:rFonts w:ascii="宋体" w:hAnsi="宋体" w:eastAsia="宋体" w:cs="宋体"/>
          <w:bCs/>
          <w:color w:val="000000"/>
          <w:sz w:val="24"/>
          <w:szCs w:val="24"/>
          <w:highlight w:val="none"/>
        </w:rPr>
      </w:pPr>
      <w:r>
        <w:rPr>
          <w:rFonts w:hint="eastAsia" w:ascii="宋体" w:hAnsi="宋体" w:eastAsia="宋体" w:cs="宋体"/>
          <w:b/>
          <w:color w:val="000000"/>
          <w:sz w:val="24"/>
          <w:szCs w:val="24"/>
          <w:highlight w:val="none"/>
        </w:rPr>
        <w:t>投标文件的份数要求及投递方式</w:t>
      </w:r>
      <w:r>
        <w:rPr>
          <w:rFonts w:hint="eastAsia" w:ascii="宋体" w:hAnsi="宋体" w:eastAsia="宋体" w:cs="宋体"/>
          <w:bCs/>
          <w:color w:val="000000"/>
          <w:sz w:val="24"/>
          <w:szCs w:val="24"/>
          <w:highlight w:val="none"/>
        </w:rPr>
        <w:t>，见《投标须知前附表》第3条。</w:t>
      </w:r>
    </w:p>
    <w:p>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详见附件格式1—13，其余未尽事宜请按各单位习惯制定即可。</w:t>
      </w:r>
    </w:p>
    <w:p>
      <w:pPr>
        <w:spacing w:line="360" w:lineRule="auto"/>
        <w:ind w:firstLine="482" w:firstLineChars="200"/>
        <w:rPr>
          <w:rFonts w:ascii="宋体" w:hAnsi="宋体" w:eastAsia="宋体" w:cs="宋体"/>
          <w:color w:val="000000"/>
          <w:sz w:val="24"/>
          <w:szCs w:val="24"/>
          <w:highlight w:val="none"/>
        </w:rPr>
      </w:pPr>
      <w:r>
        <w:rPr>
          <w:rFonts w:hint="eastAsia" w:ascii="宋体" w:hAnsi="宋体" w:eastAsia="宋体" w:cs="宋体"/>
          <w:b/>
          <w:bCs/>
          <w:sz w:val="24"/>
          <w:szCs w:val="24"/>
          <w:highlight w:val="none"/>
        </w:rPr>
        <w:t>1.《投标文件（资质标）》包括</w:t>
      </w:r>
      <w:r>
        <w:rPr>
          <w:rFonts w:hint="eastAsia" w:ascii="宋体" w:hAnsi="宋体" w:eastAsia="宋体" w:cs="宋体"/>
          <w:color w:val="000000"/>
          <w:sz w:val="24"/>
          <w:szCs w:val="24"/>
          <w:highlight w:val="none"/>
        </w:rPr>
        <w:t>：</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1.1营业执照副本复印件（需加盖公章）；</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1.2投标函（附件1）；</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highlight w:val="none"/>
        </w:rPr>
        <w:t>（含法人身份证和被授权人身份证正反面复印件）和</w:t>
      </w:r>
      <w:r>
        <w:rPr>
          <w:rFonts w:hint="eastAsia" w:ascii="宋体" w:hAnsi="宋体" w:eastAsia="宋体" w:cs="宋体"/>
          <w:sz w:val="24"/>
          <w:szCs w:val="24"/>
          <w:highlight w:val="none"/>
        </w:rPr>
        <w:t>被授权人</w:t>
      </w:r>
      <w:r>
        <w:rPr>
          <w:rFonts w:hint="eastAsia" w:ascii="宋体" w:hAnsi="宋体" w:eastAsia="宋体" w:cs="宋体"/>
          <w:kern w:val="0"/>
          <w:sz w:val="24"/>
          <w:szCs w:val="24"/>
          <w:highlight w:val="none"/>
          <w:lang w:bidi="en-US"/>
        </w:rPr>
        <w:t>近6个月及以上在授权单位的社保缴纳证明</w:t>
      </w:r>
      <w:r>
        <w:rPr>
          <w:rFonts w:hint="eastAsia" w:ascii="宋体" w:hAnsi="宋体" w:eastAsia="宋体" w:cs="宋体"/>
          <w:b/>
          <w:color w:val="000000"/>
          <w:sz w:val="24"/>
          <w:szCs w:val="24"/>
          <w:highlight w:val="none"/>
        </w:rPr>
        <w:t>；</w:t>
      </w:r>
    </w:p>
    <w:p>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1.4经会计师事务所审计且出具无保留意见的近</w:t>
      </w:r>
      <w:r>
        <w:rPr>
          <w:rFonts w:hint="eastAsia" w:ascii="宋体" w:hAnsi="宋体" w:eastAsia="宋体" w:cs="宋体"/>
          <w:color w:val="000000"/>
          <w:sz w:val="24"/>
          <w:szCs w:val="24"/>
          <w:highlight w:val="none"/>
          <w:lang w:val="en-US" w:eastAsia="zh-CN"/>
        </w:rPr>
        <w:t>三</w:t>
      </w:r>
      <w:r>
        <w:rPr>
          <w:rFonts w:hint="eastAsia" w:ascii="宋体" w:hAnsi="宋体" w:eastAsia="宋体" w:cs="宋体"/>
          <w:color w:val="000000"/>
          <w:sz w:val="24"/>
          <w:szCs w:val="24"/>
          <w:highlight w:val="none"/>
        </w:rPr>
        <w:t>年的财务审计报告，并加盖公章，包括但不限于报告页、经审计的资产负债表、利润表、现金流量表及报表附注</w:t>
      </w:r>
      <w:r>
        <w:rPr>
          <w:rFonts w:hint="eastAsia" w:ascii="宋体" w:hAnsi="宋体" w:eastAsia="宋体" w:cs="宋体"/>
          <w:color w:val="000000"/>
          <w:sz w:val="24"/>
          <w:szCs w:val="24"/>
          <w:highlight w:val="none"/>
          <w:lang w:eastAsia="zh-CN"/>
        </w:rPr>
        <w:t>，</w:t>
      </w:r>
      <w:r>
        <w:rPr>
          <w:rFonts w:hint="eastAsia" w:hAnsi="宋体" w:eastAsia="宋体" w:cs="宋体"/>
          <w:color w:val="000000"/>
          <w:sz w:val="24"/>
          <w:szCs w:val="24"/>
          <w:highlight w:val="none"/>
        </w:rPr>
        <w:t>（如投标人公司没有经审计的财务报告，可提供加盖公章的近</w:t>
      </w:r>
      <w:r>
        <w:rPr>
          <w:rFonts w:hint="eastAsia" w:hAnsi="宋体" w:eastAsia="宋体" w:cs="宋体"/>
          <w:color w:val="000000"/>
          <w:sz w:val="24"/>
          <w:szCs w:val="24"/>
          <w:highlight w:val="none"/>
          <w:lang w:val="en-US" w:eastAsia="zh-CN"/>
        </w:rPr>
        <w:t>三</w:t>
      </w:r>
      <w:r>
        <w:rPr>
          <w:rFonts w:hint="eastAsia" w:hAnsi="宋体" w:eastAsia="宋体" w:cs="宋体"/>
          <w:color w:val="000000"/>
          <w:sz w:val="24"/>
          <w:szCs w:val="24"/>
          <w:highlight w:val="none"/>
        </w:rPr>
        <w:t>年财务报表，包括但不限于资产负债表、利润表、现金流量表）</w:t>
      </w:r>
      <w:r>
        <w:rPr>
          <w:rFonts w:hint="eastAsia" w:ascii="宋体" w:hAnsi="宋体" w:eastAsia="宋体" w:cs="宋体"/>
          <w:color w:val="000000"/>
          <w:sz w:val="24"/>
          <w:szCs w:val="24"/>
          <w:highlight w:val="none"/>
        </w:rPr>
        <w:t>。必须连续，同时填写投标人基本情况及资产情况汇总表（附件3）</w:t>
      </w:r>
      <w:r>
        <w:rPr>
          <w:rFonts w:hint="eastAsia" w:ascii="宋体" w:hAnsi="宋体" w:eastAsia="宋体" w:cs="宋体"/>
          <w:color w:val="000000"/>
          <w:sz w:val="24"/>
          <w:szCs w:val="24"/>
          <w:highlight w:val="none"/>
          <w:lang w:eastAsia="zh-CN"/>
        </w:rPr>
        <w:t>；</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highlight w:val="none"/>
        </w:rPr>
        <w:t>行为的声明；</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1.6投标人在国家企业信用信息公示系统中无与本项目有关的行政处罚、经营异常和失信信息的声明；（附投标当日系统内相关截图或报告）</w:t>
      </w:r>
    </w:p>
    <w:p>
      <w:pPr>
        <w:spacing w:line="360" w:lineRule="auto"/>
        <w:ind w:firstLine="480" w:firstLineChars="200"/>
        <w:rPr>
          <w:highlight w:val="none"/>
        </w:rPr>
      </w:pPr>
      <w:r>
        <w:rPr>
          <w:rFonts w:hint="eastAsia" w:ascii="宋体" w:hAnsi="宋体" w:eastAsia="宋体" w:cs="宋体"/>
          <w:color w:val="000000"/>
          <w:sz w:val="24"/>
          <w:szCs w:val="24"/>
          <w:highlight w:val="none"/>
        </w:rPr>
        <w:t>1.7</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1.8企业信用证明材料（征信中心出具的信用报告）；</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9</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r>
        <w:rPr>
          <w:rFonts w:hint="eastAsia" w:ascii="宋体" w:hAnsi="宋体" w:eastAsia="宋体" w:cs="宋体"/>
          <w:color w:val="000000"/>
          <w:sz w:val="24"/>
          <w:szCs w:val="24"/>
          <w:highlight w:val="none"/>
        </w:rPr>
        <w:t>；</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1.1</w:t>
      </w:r>
      <w:r>
        <w:rPr>
          <w:rFonts w:hint="eastAsia" w:ascii="宋体" w:hAnsi="宋体" w:eastAsia="宋体" w:cs="宋体"/>
          <w:color w:val="000000"/>
          <w:sz w:val="24"/>
          <w:szCs w:val="24"/>
          <w:highlight w:val="none"/>
          <w:lang w:val="en-US" w:eastAsia="zh-CN"/>
        </w:rPr>
        <w:t>0</w:t>
      </w:r>
      <w:r>
        <w:rPr>
          <w:rFonts w:hint="eastAsia" w:ascii="宋体" w:hAnsi="宋体" w:eastAsia="宋体" w:cs="宋体"/>
          <w:color w:val="000000"/>
          <w:sz w:val="24"/>
          <w:szCs w:val="24"/>
          <w:highlight w:val="none"/>
        </w:rPr>
        <w:t>保密承诺函（附件4）；</w:t>
      </w:r>
    </w:p>
    <w:p>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w:t>
      </w:r>
      <w:r>
        <w:rPr>
          <w:rFonts w:hint="eastAsia" w:ascii="宋体" w:hAnsi="宋体" w:eastAsia="宋体" w:cs="宋体"/>
          <w:color w:val="000000"/>
          <w:sz w:val="24"/>
          <w:szCs w:val="24"/>
          <w:highlight w:val="none"/>
          <w:lang w:val="en-US" w:eastAsia="zh-CN"/>
        </w:rPr>
        <w:t xml:space="preserve">1 </w:t>
      </w:r>
      <w:r>
        <w:rPr>
          <w:rFonts w:hint="eastAsia" w:ascii="宋体" w:hAnsi="宋体" w:eastAsia="宋体" w:cs="宋体"/>
          <w:color w:val="000000"/>
          <w:sz w:val="24"/>
          <w:szCs w:val="24"/>
          <w:highlight w:val="none"/>
        </w:rPr>
        <w:t>202</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年1月1日至今，企业近三年同类项目业绩证明，</w:t>
      </w:r>
      <w:r>
        <w:rPr>
          <w:rFonts w:ascii="宋体" w:hAnsi="宋体" w:eastAsia="宋体" w:cs="宋体"/>
          <w:sz w:val="24"/>
          <w:szCs w:val="24"/>
          <w:highlight w:val="none"/>
        </w:rPr>
        <w:t>须提供</w:t>
      </w:r>
      <w:r>
        <w:rPr>
          <w:rFonts w:hint="eastAsia" w:hAnsi="宋体" w:eastAsia="宋体" w:cs="宋体"/>
          <w:b/>
          <w:bCs/>
          <w:color w:val="000000"/>
          <w:kern w:val="0"/>
          <w:sz w:val="24"/>
          <w:szCs w:val="24"/>
          <w:highlight w:val="none"/>
        </w:rPr>
        <w:t>用户清单</w:t>
      </w:r>
      <w:r>
        <w:rPr>
          <w:rFonts w:ascii="宋体" w:hAnsi="宋体" w:eastAsia="宋体" w:cs="宋体"/>
          <w:sz w:val="24"/>
          <w:szCs w:val="24"/>
          <w:highlight w:val="none"/>
        </w:rPr>
        <w:t>、采购合同</w:t>
      </w:r>
      <w:r>
        <w:rPr>
          <w:rFonts w:hint="eastAsia" w:ascii="宋体" w:hAnsi="宋体" w:eastAsia="宋体" w:cs="宋体"/>
          <w:sz w:val="24"/>
          <w:szCs w:val="24"/>
          <w:highlight w:val="none"/>
        </w:rPr>
        <w:t>复印件</w:t>
      </w:r>
      <w:r>
        <w:rPr>
          <w:rFonts w:hint="eastAsia" w:ascii="宋体" w:hAnsi="宋体" w:eastAsia="宋体" w:cs="宋体"/>
          <w:color w:val="000000"/>
          <w:sz w:val="24"/>
          <w:szCs w:val="24"/>
          <w:highlight w:val="none"/>
        </w:rPr>
        <w:t>；</w:t>
      </w:r>
    </w:p>
    <w:p>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1.12</w:t>
      </w:r>
      <w:r>
        <w:rPr>
          <w:rFonts w:hint="eastAsia" w:ascii="宋体" w:hAnsi="宋体" w:eastAsia="宋体" w:cs="宋体"/>
          <w:color w:val="000000"/>
          <w:sz w:val="24"/>
          <w:szCs w:val="24"/>
          <w:highlight w:val="none"/>
        </w:rPr>
        <w:t>有效期内的生产许可证（实行生产许可制度的企业提供）加盖公章</w:t>
      </w:r>
      <w:r>
        <w:rPr>
          <w:rFonts w:hint="eastAsia" w:ascii="宋体" w:hAnsi="宋体" w:eastAsia="宋体" w:cs="宋体"/>
          <w:color w:val="000000"/>
          <w:sz w:val="24"/>
          <w:szCs w:val="24"/>
          <w:highlight w:val="none"/>
          <w:lang w:eastAsia="zh-CN"/>
        </w:rPr>
        <w:t>；</w:t>
      </w:r>
    </w:p>
    <w:p>
      <w:pPr>
        <w:spacing w:line="360" w:lineRule="auto"/>
        <w:ind w:firstLine="480" w:firstLineChars="200"/>
        <w:rPr>
          <w:rFonts w:hint="eastAsia" w:ascii="宋体" w:hAnsi="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1.13</w:t>
      </w:r>
      <w:r>
        <w:rPr>
          <w:rFonts w:hint="eastAsia" w:ascii="宋体" w:hAnsi="宋体" w:eastAsia="宋体" w:cs="宋体"/>
          <w:color w:val="000000"/>
          <w:sz w:val="24"/>
          <w:szCs w:val="24"/>
          <w:highlight w:val="none"/>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none"/>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w:t>
      </w:r>
    </w:p>
    <w:p>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1.14</w:t>
      </w:r>
      <w:r>
        <w:rPr>
          <w:rFonts w:hint="eastAsia" w:ascii="宋体" w:hAnsi="宋体" w:eastAsia="宋体" w:cs="宋体"/>
          <w:color w:val="000000"/>
          <w:sz w:val="24"/>
          <w:szCs w:val="24"/>
          <w:highlight w:val="none"/>
        </w:rPr>
        <w:t>产品鉴定证书（如需）</w:t>
      </w:r>
      <w:r>
        <w:rPr>
          <w:rFonts w:hint="eastAsia" w:ascii="宋体" w:hAnsi="宋体" w:eastAsia="宋体" w:cs="宋体"/>
          <w:color w:val="000000"/>
          <w:sz w:val="24"/>
          <w:szCs w:val="24"/>
          <w:highlight w:val="none"/>
          <w:lang w:eastAsia="zh-CN"/>
        </w:rPr>
        <w:t>；</w:t>
      </w:r>
    </w:p>
    <w:p>
      <w:pPr>
        <w:spacing w:line="360" w:lineRule="auto"/>
        <w:ind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lang w:val="en-US" w:eastAsia="zh-CN"/>
        </w:rPr>
        <w:t>1.15</w:t>
      </w:r>
      <w:r>
        <w:rPr>
          <w:rFonts w:hint="eastAsia" w:ascii="宋体" w:hAnsi="宋体" w:eastAsia="宋体" w:cs="宋体"/>
          <w:color w:val="000000"/>
          <w:sz w:val="24"/>
          <w:szCs w:val="24"/>
          <w:highlight w:val="none"/>
        </w:rPr>
        <w:t>质量体系认证证书（如需）</w:t>
      </w:r>
      <w:r>
        <w:rPr>
          <w:rFonts w:hint="eastAsia" w:ascii="宋体" w:hAnsi="宋体" w:eastAsia="宋体" w:cs="宋体"/>
          <w:color w:val="000000"/>
          <w:sz w:val="24"/>
          <w:szCs w:val="24"/>
          <w:highlight w:val="none"/>
          <w:lang w:eastAsia="zh-CN"/>
        </w:rPr>
        <w:t>；</w:t>
      </w:r>
    </w:p>
    <w:p>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1.16</w:t>
      </w:r>
      <w:r>
        <w:rPr>
          <w:rFonts w:hint="eastAsia" w:ascii="宋体" w:hAnsi="宋体" w:eastAsia="宋体" w:cs="宋体"/>
          <w:color w:val="000000"/>
          <w:sz w:val="24"/>
          <w:szCs w:val="24"/>
          <w:highlight w:val="none"/>
        </w:rPr>
        <w:t>产品和主要元器件“CCC”认证证书（如需）</w:t>
      </w:r>
      <w:r>
        <w:rPr>
          <w:rFonts w:hint="eastAsia" w:ascii="宋体" w:hAnsi="宋体" w:eastAsia="宋体" w:cs="宋体"/>
          <w:color w:val="000000"/>
          <w:sz w:val="24"/>
          <w:szCs w:val="24"/>
          <w:highlight w:val="none"/>
          <w:lang w:eastAsia="zh-CN"/>
        </w:rPr>
        <w:t>；</w:t>
      </w:r>
    </w:p>
    <w:p>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1.17</w:t>
      </w:r>
      <w:r>
        <w:rPr>
          <w:rFonts w:hint="eastAsia" w:ascii="宋体" w:hAnsi="宋体" w:eastAsia="宋体" w:cs="宋体"/>
          <w:color w:val="000000"/>
          <w:sz w:val="24"/>
          <w:szCs w:val="24"/>
          <w:highlight w:val="none"/>
        </w:rPr>
        <w:t>产品的检测、检验报告复印件（如有，需权威部门出具）</w:t>
      </w:r>
      <w:r>
        <w:rPr>
          <w:rFonts w:hint="eastAsia" w:ascii="宋体" w:hAnsi="宋体" w:eastAsia="宋体" w:cs="宋体"/>
          <w:color w:val="000000"/>
          <w:sz w:val="24"/>
          <w:szCs w:val="24"/>
          <w:highlight w:val="none"/>
          <w:lang w:eastAsia="zh-CN"/>
        </w:rPr>
        <w:t>；</w:t>
      </w:r>
    </w:p>
    <w:p>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1.18</w:t>
      </w:r>
      <w:r>
        <w:rPr>
          <w:rFonts w:hint="eastAsia" w:ascii="宋体" w:hAnsi="宋体" w:eastAsia="宋体" w:cs="宋体"/>
          <w:color w:val="000000"/>
          <w:sz w:val="24"/>
          <w:szCs w:val="24"/>
          <w:highlight w:val="none"/>
        </w:rPr>
        <w:t>招标文件要求的其它必要资格文件</w:t>
      </w:r>
      <w:r>
        <w:rPr>
          <w:rFonts w:hint="eastAsia" w:ascii="宋体" w:hAnsi="宋体" w:eastAsia="宋体" w:cs="宋体"/>
          <w:color w:val="000000"/>
          <w:sz w:val="24"/>
          <w:szCs w:val="24"/>
          <w:highlight w:val="none"/>
          <w:lang w:eastAsia="zh-CN"/>
        </w:rPr>
        <w:t>；</w:t>
      </w:r>
    </w:p>
    <w:p>
      <w:pPr>
        <w:spacing w:line="360" w:lineRule="auto"/>
        <w:ind w:firstLine="480" w:firstLineChars="200"/>
        <w:rPr>
          <w:rFonts w:hint="default"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1.19</w:t>
      </w:r>
      <w:r>
        <w:rPr>
          <w:rFonts w:hint="eastAsia" w:ascii="宋体" w:hAnsi="宋体" w:eastAsia="宋体" w:cs="宋体"/>
          <w:color w:val="000000"/>
          <w:sz w:val="24"/>
          <w:szCs w:val="24"/>
          <w:highlight w:val="none"/>
        </w:rPr>
        <w:t>投标方认为对其投标有利的其他资料</w:t>
      </w:r>
      <w:r>
        <w:rPr>
          <w:rFonts w:hint="eastAsia" w:ascii="宋体" w:hAnsi="宋体" w:eastAsia="宋体" w:cs="宋体"/>
          <w:color w:val="000000"/>
          <w:sz w:val="24"/>
          <w:szCs w:val="24"/>
          <w:highlight w:val="none"/>
          <w:lang w:eastAsia="zh-CN"/>
        </w:rPr>
        <w:t>；</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20</w:t>
      </w:r>
      <w:r>
        <w:rPr>
          <w:rFonts w:hint="eastAsia" w:ascii="宋体" w:hAnsi="宋体" w:eastAsia="宋体" w:cs="宋体"/>
          <w:color w:val="000000"/>
          <w:sz w:val="24"/>
          <w:szCs w:val="24"/>
          <w:highlight w:val="none"/>
        </w:rPr>
        <w:t>投标保证金缴纳凭证，同时正文描述付款账号、户名、开户行名称、开户行行号、保证金金额。</w:t>
      </w:r>
    </w:p>
    <w:p>
      <w:pPr>
        <w:spacing w:line="360" w:lineRule="auto"/>
        <w:ind w:firstLine="482" w:firstLineChars="200"/>
        <w:rPr>
          <w:rFonts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sz w:val="24"/>
          <w:szCs w:val="24"/>
          <w:highlight w:val="none"/>
        </w:rPr>
        <w:t>《投标文件（技术标）》</w:t>
      </w:r>
      <w:r>
        <w:rPr>
          <w:rFonts w:hint="eastAsia" w:ascii="宋体" w:hAnsi="宋体" w:eastAsia="宋体" w:cs="宋体"/>
          <w:b/>
          <w:bCs/>
          <w:sz w:val="24"/>
          <w:szCs w:val="24"/>
          <w:highlight w:val="none"/>
        </w:rPr>
        <w:t>：</w:t>
      </w:r>
      <w:bookmarkEnd w:id="28"/>
    </w:p>
    <w:p>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2.1技术规格偏离表（附件5-1），</w:t>
      </w:r>
      <w:r>
        <w:rPr>
          <w:rFonts w:hint="eastAsia" w:ascii="宋体" w:hAnsi="宋体" w:eastAsia="宋体" w:cs="宋体"/>
          <w:b/>
          <w:color w:val="000000"/>
          <w:sz w:val="24"/>
          <w:szCs w:val="24"/>
          <w:highlight w:val="none"/>
        </w:rPr>
        <w:t>必须先进行两列要求一一对照，不允许直接写无偏离；</w:t>
      </w:r>
    </w:p>
    <w:p>
      <w:pPr>
        <w:spacing w:line="360" w:lineRule="auto"/>
        <w:ind w:firstLine="480" w:firstLineChars="200"/>
        <w:rPr>
          <w:rFonts w:hAnsi="宋体" w:eastAsia="宋体" w:cs="宋体"/>
          <w:b/>
          <w:color w:val="000000"/>
          <w:sz w:val="24"/>
          <w:szCs w:val="24"/>
          <w:highlight w:val="none"/>
        </w:rPr>
      </w:pPr>
      <w:r>
        <w:rPr>
          <w:rFonts w:hint="eastAsia" w:ascii="宋体" w:hAnsi="宋体" w:eastAsia="宋体" w:cs="宋体"/>
          <w:bCs/>
          <w:color w:val="000000"/>
          <w:sz w:val="24"/>
          <w:szCs w:val="24"/>
          <w:highlight w:val="none"/>
        </w:rPr>
        <w:t>2.2</w:t>
      </w:r>
      <w:r>
        <w:rPr>
          <w:rFonts w:hint="eastAsia" w:hAnsi="宋体" w:eastAsia="宋体" w:cs="宋体"/>
          <w:color w:val="000000"/>
          <w:sz w:val="24"/>
          <w:szCs w:val="24"/>
          <w:highlight w:val="none"/>
        </w:rPr>
        <w:t>设备分项配置表（附件5-2），列明项目设备分项配置规格型号、品牌等信息，非标机械部件提供单件图纸（要求分项明细与附表9-1完全对应），但</w:t>
      </w:r>
      <w:r>
        <w:rPr>
          <w:rFonts w:hint="eastAsia" w:ascii="宋体" w:hAnsi="宋体" w:eastAsia="宋体" w:cs="宋体"/>
          <w:b/>
          <w:color w:val="000000"/>
          <w:sz w:val="24"/>
          <w:szCs w:val="24"/>
          <w:highlight w:val="none"/>
        </w:rPr>
        <w:t>注意：</w:t>
      </w:r>
      <w:r>
        <w:rPr>
          <w:rFonts w:hint="eastAsia" w:hAnsi="宋体" w:eastAsia="宋体" w:cs="宋体"/>
          <w:b/>
          <w:color w:val="000000"/>
          <w:sz w:val="24"/>
          <w:szCs w:val="24"/>
          <w:highlight w:val="none"/>
        </w:rPr>
        <w:t>此表在技术标书中，禁止出现任何分项价格及项目总价；</w:t>
      </w:r>
    </w:p>
    <w:p>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2.3提供202</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年1月1日以来同类产品的制造销售业绩（用户名单、联系方式），并附合同复印件。该同类项目业绩一览表必</w:t>
      </w:r>
      <w:r>
        <w:rPr>
          <w:rFonts w:hint="eastAsia" w:ascii="宋体" w:hAnsi="宋体" w:eastAsia="宋体" w:cs="宋体"/>
          <w:b/>
          <w:bCs/>
          <w:color w:val="000000"/>
          <w:sz w:val="24"/>
          <w:szCs w:val="24"/>
          <w:highlight w:val="none"/>
        </w:rPr>
        <w:t>须如实填写，应全尽全</w:t>
      </w:r>
      <w:r>
        <w:rPr>
          <w:rFonts w:hint="eastAsia" w:ascii="宋体" w:hAnsi="宋体" w:eastAsia="宋体" w:cs="宋体"/>
          <w:color w:val="000000"/>
          <w:sz w:val="24"/>
          <w:szCs w:val="24"/>
          <w:highlight w:val="none"/>
        </w:rPr>
        <w:t>；</w:t>
      </w:r>
      <w:r>
        <w:rPr>
          <w:rFonts w:hint="eastAsia" w:ascii="宋体" w:hAnsi="宋体" w:eastAsia="宋体" w:cs="宋体"/>
          <w:b/>
          <w:bCs/>
          <w:color w:val="000000"/>
          <w:sz w:val="24"/>
          <w:szCs w:val="24"/>
          <w:highlight w:val="none"/>
        </w:rPr>
        <w:t>一览表最终的所有业绩合同总额汇总必填</w:t>
      </w:r>
      <w:r>
        <w:rPr>
          <w:rFonts w:hint="eastAsia" w:ascii="宋体" w:hAnsi="宋体" w:eastAsia="宋体" w:cs="宋体"/>
          <w:color w:val="000000"/>
          <w:sz w:val="24"/>
          <w:szCs w:val="24"/>
          <w:highlight w:val="none"/>
        </w:rPr>
        <w:t>，数据将影响现场评标专家组对投标单位的业绩考评。</w:t>
      </w:r>
      <w:r>
        <w:rPr>
          <w:rFonts w:hint="eastAsia" w:ascii="宋体" w:hAnsi="宋体" w:eastAsia="宋体" w:cs="宋体"/>
          <w:b/>
          <w:bCs/>
          <w:color w:val="000000"/>
          <w:sz w:val="24"/>
          <w:szCs w:val="24"/>
          <w:highlight w:val="none"/>
        </w:rPr>
        <w:t>若未提供相应业绩证明，根据技术标评分规则，将影响现场评标专家组对投标单位业绩判定打分</w:t>
      </w:r>
      <w:r>
        <w:rPr>
          <w:rFonts w:hint="eastAsia" w:ascii="宋体" w:hAnsi="宋体" w:eastAsia="宋体" w:cs="宋体"/>
          <w:b/>
          <w:color w:val="000000"/>
          <w:sz w:val="24"/>
          <w:szCs w:val="24"/>
          <w:highlight w:val="none"/>
        </w:rPr>
        <w:t>；</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2.4供货期及保证措施；</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2.5产品的技术服务和售后服务内容及措施；</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2.6交货进度及计划；</w:t>
      </w:r>
    </w:p>
    <w:p>
      <w:pPr>
        <w:spacing w:line="360" w:lineRule="auto"/>
        <w:ind w:firstLine="480" w:firstLineChars="200"/>
        <w:rPr>
          <w:rFonts w:ascii="宋体" w:hAnsi="宋体" w:eastAsia="宋体" w:cs="宋体"/>
          <w:color w:val="000000"/>
          <w:sz w:val="24"/>
          <w:szCs w:val="24"/>
          <w:highlight w:val="none"/>
        </w:rPr>
      </w:pPr>
      <w:bookmarkStart w:id="29" w:name="_Toc536542319"/>
      <w:r>
        <w:rPr>
          <w:rFonts w:hint="eastAsia" w:ascii="宋体" w:hAnsi="宋体" w:eastAsia="宋体" w:cs="宋体"/>
          <w:color w:val="000000"/>
          <w:sz w:val="24"/>
          <w:szCs w:val="24"/>
          <w:highlight w:val="none"/>
        </w:rPr>
        <w:t>2.7投标产品技术支持材料</w:t>
      </w:r>
      <w:bookmarkEnd w:id="29"/>
      <w:r>
        <w:rPr>
          <w:rFonts w:hint="eastAsia" w:ascii="宋体" w:hAnsi="宋体" w:eastAsia="宋体" w:cs="宋体"/>
          <w:color w:val="000000"/>
          <w:sz w:val="24"/>
          <w:szCs w:val="24"/>
          <w:highlight w:val="none"/>
        </w:rPr>
        <w:t>；</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2.8设备质量承诺函（附件7）；</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2.9投标人需提交的其它资料。</w:t>
      </w:r>
    </w:p>
    <w:p>
      <w:pPr>
        <w:spacing w:line="360" w:lineRule="auto"/>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sz w:val="24"/>
          <w:szCs w:val="24"/>
          <w:highlight w:val="none"/>
        </w:rPr>
        <w:t>《投标文件（商务标）》（开标一览表）</w:t>
      </w:r>
      <w:r>
        <w:rPr>
          <w:rFonts w:hint="eastAsia" w:ascii="宋体" w:hAnsi="宋体" w:eastAsia="宋体" w:cs="宋体"/>
          <w:b/>
          <w:bCs/>
          <w:sz w:val="24"/>
          <w:szCs w:val="24"/>
          <w:highlight w:val="none"/>
        </w:rPr>
        <w:t>：</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3.1开标一览表（附件8）；</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3.2投标报价明细表（附件9-1至9-5）</w:t>
      </w:r>
      <w:r>
        <w:rPr>
          <w:rFonts w:hint="eastAsia" w:ascii="宋体" w:hAnsi="宋体" w:eastAsia="宋体" w:cs="宋体"/>
          <w:b/>
          <w:bCs/>
          <w:color w:val="000000"/>
          <w:sz w:val="24"/>
          <w:szCs w:val="24"/>
          <w:highlight w:val="none"/>
          <w:lang w:eastAsia="zh-CN"/>
        </w:rPr>
        <w:t>【分项报价中需明确：规格型号、材质、重量、数量、品牌、价格等信息，注明是否包含加工费等其他费用】</w:t>
      </w:r>
      <w:r>
        <w:rPr>
          <w:rFonts w:hint="eastAsia" w:ascii="宋体" w:hAnsi="宋体" w:eastAsia="宋体" w:cs="宋体"/>
          <w:b/>
          <w:color w:val="000000"/>
          <w:sz w:val="24"/>
          <w:szCs w:val="24"/>
          <w:highlight w:val="none"/>
        </w:rPr>
        <w:t>；</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3.3商务条款偏离表（附件10）</w:t>
      </w:r>
      <w:bookmarkStart w:id="30" w:name="OLE_LINK19"/>
      <w:bookmarkStart w:id="31" w:name="OLE_LINK18"/>
      <w:r>
        <w:rPr>
          <w:rFonts w:hint="eastAsia" w:ascii="宋体" w:hAnsi="宋体" w:eastAsia="宋体" w:cs="宋体"/>
          <w:b/>
          <w:color w:val="000000"/>
          <w:sz w:val="24"/>
          <w:szCs w:val="24"/>
          <w:highlight w:val="none"/>
        </w:rPr>
        <w:t>；</w:t>
      </w:r>
      <w:bookmarkEnd w:id="30"/>
      <w:bookmarkEnd w:id="31"/>
      <w:r>
        <w:rPr>
          <w:rFonts w:hint="eastAsia" w:ascii="宋体" w:hAnsi="宋体" w:eastAsia="宋体" w:cs="宋体"/>
          <w:color w:val="000000"/>
          <w:sz w:val="24"/>
          <w:szCs w:val="24"/>
          <w:highlight w:val="none"/>
        </w:rPr>
        <w:t xml:space="preserve"> </w:t>
      </w:r>
    </w:p>
    <w:p>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3.4投标人承诺（附件11）</w:t>
      </w:r>
      <w:r>
        <w:rPr>
          <w:rFonts w:hint="eastAsia" w:ascii="宋体" w:hAnsi="宋体" w:eastAsia="宋体" w:cs="宋体"/>
          <w:b/>
          <w:color w:val="000000"/>
          <w:sz w:val="24"/>
          <w:szCs w:val="24"/>
          <w:highlight w:val="none"/>
        </w:rPr>
        <w:t>；</w:t>
      </w:r>
    </w:p>
    <w:p>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3.5服务承诺函（附件12），</w:t>
      </w:r>
      <w:r>
        <w:rPr>
          <w:rFonts w:hint="eastAsia" w:ascii="宋体" w:hAnsi="宋体" w:eastAsia="宋体" w:cs="宋体"/>
          <w:b/>
          <w:color w:val="000000"/>
          <w:sz w:val="24"/>
          <w:szCs w:val="24"/>
          <w:highlight w:val="none"/>
        </w:rPr>
        <w:t>需写明质保期以外服务费用情况</w:t>
      </w:r>
      <w:r>
        <w:rPr>
          <w:rFonts w:hint="eastAsia" w:ascii="宋体" w:hAnsi="宋体" w:eastAsia="宋体" w:cs="宋体"/>
          <w:color w:val="000000"/>
          <w:sz w:val="24"/>
          <w:szCs w:val="24"/>
          <w:highlight w:val="none"/>
        </w:rPr>
        <w:t>；</w:t>
      </w:r>
    </w:p>
    <w:p>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3.6按招标文件投标人须知和技术规格书中要求提供的有关文件</w:t>
      </w:r>
      <w:r>
        <w:rPr>
          <w:rFonts w:hint="eastAsia" w:ascii="宋体" w:hAnsi="宋体" w:eastAsia="宋体" w:cs="宋体"/>
          <w:color w:val="000000"/>
          <w:sz w:val="24"/>
          <w:szCs w:val="24"/>
          <w:highlight w:val="none"/>
          <w:lang w:val="en-US" w:eastAsia="zh-CN"/>
        </w:rPr>
        <w:t>;</w:t>
      </w:r>
    </w:p>
    <w:p>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四、投标文件格式</w:t>
      </w:r>
    </w:p>
    <w:p>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详见第六部分投标文件附件格式1—13，其余未尽事宜请按各单位习惯制定即可。</w:t>
      </w:r>
    </w:p>
    <w:p>
      <w:pPr>
        <w:pStyle w:val="19"/>
        <w:jc w:val="center"/>
        <w:rPr>
          <w:rFonts w:ascii="Calibri" w:hAnsi="Calibri" w:eastAsia="宋体" w:cs="Times New Roman"/>
          <w:b/>
          <w:bCs/>
          <w:kern w:val="44"/>
          <w:sz w:val="36"/>
          <w:szCs w:val="44"/>
          <w:highlight w:val="none"/>
        </w:rPr>
        <w:sectPr>
          <w:pgSz w:w="11907" w:h="16840"/>
          <w:pgMar w:top="1304" w:right="1418" w:bottom="1304" w:left="1418" w:header="724" w:footer="851" w:gutter="0"/>
          <w:pgNumType w:fmt="decimal"/>
          <w:cols w:space="720" w:num="1"/>
          <w:docGrid w:linePitch="290" w:charSpace="-3931"/>
        </w:sectPr>
      </w:pPr>
    </w:p>
    <w:bookmarkEnd w:id="0"/>
    <w:bookmarkEnd w:id="1"/>
    <w:p>
      <w:pPr>
        <w:keepNext/>
        <w:keepLines/>
        <w:jc w:val="center"/>
        <w:outlineLvl w:val="0"/>
        <w:rPr>
          <w:rFonts w:ascii="Calibri" w:hAnsi="Calibri" w:eastAsia="宋体" w:cs="Times New Roman"/>
          <w:b/>
          <w:bCs/>
          <w:kern w:val="44"/>
          <w:sz w:val="36"/>
          <w:szCs w:val="44"/>
        </w:rPr>
      </w:pPr>
      <w:bookmarkStart w:id="32" w:name="_Toc10760"/>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四</w:t>
      </w:r>
      <w:r>
        <w:rPr>
          <w:rFonts w:hint="eastAsia" w:ascii="Calibri" w:hAnsi="Calibri" w:eastAsia="宋体" w:cs="Times New Roman"/>
          <w:b/>
          <w:bCs/>
          <w:kern w:val="44"/>
          <w:sz w:val="36"/>
          <w:szCs w:val="44"/>
        </w:rPr>
        <w:t>部分 技术标书</w:t>
      </w:r>
      <w:bookmarkEnd w:id="32"/>
    </w:p>
    <w:p>
      <w:pPr>
        <w:pStyle w:val="19"/>
      </w:pP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52"/>
          <w:szCs w:val="52"/>
          <w:lang w:eastAsia="zh-CN"/>
        </w:rPr>
        <w:t>新能源产品试验检测中心（二期）技改项目-</w:t>
      </w:r>
      <w:r>
        <w:rPr>
          <w:rFonts w:hint="eastAsia" w:ascii="Calibri" w:hAnsi="宋体" w:eastAsia="宋体" w:cs="Times New Roman"/>
          <w:b/>
          <w:bCs/>
          <w:color w:val="000000"/>
          <w:spacing w:val="-8"/>
          <w:sz w:val="52"/>
          <w:szCs w:val="52"/>
          <w:lang w:val="en-US" w:eastAsia="zh-CN"/>
        </w:rPr>
        <w:t>试验室</w:t>
      </w:r>
      <w:r>
        <w:rPr>
          <w:rFonts w:hint="eastAsia" w:ascii="Calibri" w:hAnsi="宋体" w:eastAsia="宋体" w:cs="Times New Roman"/>
          <w:b/>
          <w:bCs/>
          <w:color w:val="000000"/>
          <w:spacing w:val="-8"/>
          <w:sz w:val="52"/>
          <w:szCs w:val="52"/>
          <w:lang w:eastAsia="zh-CN"/>
        </w:rPr>
        <w:t>环保设备设施</w:t>
      </w:r>
      <w:r>
        <w:rPr>
          <w:rFonts w:ascii="Calibri" w:hAnsi="Calibri" w:eastAsia="宋体" w:cs="Times New Roman"/>
          <w:b/>
          <w:bCs/>
          <w:color w:val="000000"/>
          <w:spacing w:val="-8"/>
          <w:sz w:val="48"/>
          <w:szCs w:val="44"/>
        </w:rPr>
        <w:t xml:space="preserve"> </w:t>
      </w:r>
    </w:p>
    <w:p>
      <w:pPr>
        <w:jc w:val="right"/>
        <w:rPr>
          <w:rFonts w:ascii="Calibri" w:hAnsi="Calibri" w:eastAsia="宋体" w:cs="Times New Roman"/>
          <w:color w:val="000000"/>
          <w:sz w:val="28"/>
          <w:szCs w:val="28"/>
        </w:rPr>
      </w:pPr>
    </w:p>
    <w:p>
      <w:pPr>
        <w:pStyle w:val="19"/>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pPr>
        <w:pStyle w:val="19"/>
      </w:pPr>
    </w:p>
    <w:p>
      <w:pPr>
        <w:pStyle w:val="19"/>
        <w:rPr>
          <w:rFonts w:ascii="黑体" w:hAnsi="宋体" w:eastAsia="黑体" w:cs="Times New Roman"/>
          <w:color w:val="000000"/>
          <w:sz w:val="72"/>
          <w:szCs w:val="72"/>
        </w:rPr>
      </w:pPr>
    </w:p>
    <w:p>
      <w:pPr>
        <w:pStyle w:val="19"/>
        <w:rPr>
          <w:rFonts w:ascii="黑体" w:hAnsi="宋体" w:eastAsia="黑体" w:cs="Times New Roman"/>
          <w:color w:val="000000"/>
          <w:sz w:val="72"/>
          <w:szCs w:val="72"/>
        </w:rPr>
      </w:pPr>
    </w:p>
    <w:p>
      <w:pPr>
        <w:spacing w:line="860" w:lineRule="exact"/>
        <w:rPr>
          <w:rFonts w:hint="eastAsia" w:ascii="华文仿宋" w:hAnsi="华文仿宋" w:eastAsia="华文仿宋"/>
          <w:sz w:val="32"/>
          <w:szCs w:val="28"/>
        </w:rPr>
      </w:pPr>
    </w:p>
    <w:p>
      <w:pPr>
        <w:spacing w:line="860" w:lineRule="exact"/>
        <w:rPr>
          <w:rFonts w:hint="eastAsia" w:ascii="华文仿宋" w:hAnsi="华文仿宋" w:eastAsia="华文仿宋"/>
          <w:sz w:val="32"/>
          <w:szCs w:val="28"/>
        </w:rPr>
      </w:pPr>
    </w:p>
    <w:p>
      <w:pPr>
        <w:spacing w:line="860" w:lineRule="exact"/>
        <w:rPr>
          <w:rFonts w:hint="eastAsia" w:ascii="华文仿宋" w:hAnsi="华文仿宋" w:eastAsia="华文仿宋"/>
          <w:sz w:val="32"/>
          <w:szCs w:val="28"/>
        </w:rPr>
      </w:pPr>
    </w:p>
    <w:p>
      <w:pPr>
        <w:spacing w:line="860" w:lineRule="exact"/>
        <w:rPr>
          <w:rFonts w:hint="eastAsia" w:ascii="华文仿宋" w:hAnsi="华文仿宋" w:eastAsia="华文仿宋"/>
          <w:sz w:val="32"/>
          <w:szCs w:val="28"/>
        </w:rPr>
      </w:pPr>
    </w:p>
    <w:p>
      <w:pPr>
        <w:pStyle w:val="19"/>
        <w:rPr>
          <w:b/>
          <w:bCs/>
        </w:rPr>
      </w:pPr>
    </w:p>
    <w:p>
      <w:pPr>
        <w:spacing w:before="120" w:after="120" w:line="360" w:lineRule="auto"/>
        <w:jc w:val="center"/>
        <w:rPr>
          <w:rFonts w:hint="eastAsia" w:ascii="黑体" w:eastAsia="黑体"/>
          <w:b w:val="0"/>
          <w:sz w:val="28"/>
          <w:szCs w:val="28"/>
        </w:rPr>
      </w:pPr>
      <w:bookmarkStart w:id="33" w:name="_Toc9658377"/>
      <w:bookmarkStart w:id="34" w:name="_Toc169605881"/>
      <w:r>
        <w:rPr>
          <w:rFonts w:hint="eastAsia" w:ascii="黑体" w:eastAsia="黑体"/>
          <w:b w:val="0"/>
          <w:sz w:val="28"/>
          <w:szCs w:val="28"/>
        </w:rPr>
        <w:br w:type="page"/>
      </w:r>
    </w:p>
    <w:p>
      <w:pPr>
        <w:pStyle w:val="2"/>
        <w:spacing w:before="120" w:after="120" w:line="360" w:lineRule="auto"/>
        <w:jc w:val="center"/>
        <w:rPr>
          <w:rFonts w:ascii="黑体" w:eastAsia="黑体"/>
          <w:b w:val="0"/>
          <w:sz w:val="28"/>
          <w:szCs w:val="28"/>
        </w:rPr>
      </w:pPr>
      <w:r>
        <w:rPr>
          <w:rFonts w:hint="eastAsia" w:ascii="黑体" w:eastAsia="黑体"/>
          <w:b w:val="0"/>
          <w:sz w:val="28"/>
          <w:szCs w:val="28"/>
        </w:rPr>
        <w:t>第一章  采购货物概况</w:t>
      </w:r>
      <w:bookmarkEnd w:id="33"/>
    </w:p>
    <w:p>
      <w:pPr>
        <w:pStyle w:val="3"/>
        <w:spacing w:before="120" w:after="120" w:line="360" w:lineRule="auto"/>
        <w:jc w:val="center"/>
        <w:rPr>
          <w:b w:val="0"/>
          <w:sz w:val="24"/>
          <w:szCs w:val="24"/>
        </w:rPr>
      </w:pPr>
      <w:bookmarkStart w:id="35" w:name="_Toc9658378"/>
      <w:r>
        <w:rPr>
          <w:rFonts w:hint="eastAsia"/>
          <w:b w:val="0"/>
          <w:sz w:val="24"/>
          <w:szCs w:val="24"/>
        </w:rPr>
        <w:t>第一节  使用环境</w:t>
      </w:r>
      <w:bookmarkEnd w:id="35"/>
    </w:p>
    <w:p>
      <w:pPr>
        <w:snapToGrid w:val="0"/>
        <w:spacing w:line="360" w:lineRule="auto"/>
        <w:ind w:left="0" w:leftChars="0" w:firstLine="480" w:firstLineChars="200"/>
        <w:rPr>
          <w:rFonts w:hint="eastAsia" w:ascii="宋体" w:hAnsi="宋体" w:eastAsia="宋体" w:cs="宋体"/>
          <w:sz w:val="24"/>
          <w:szCs w:val="24"/>
          <w:u w:val="single"/>
          <w:shd w:val="pct10" w:color="auto" w:fill="FFFFFF"/>
          <w:lang w:eastAsia="zh-CN"/>
        </w:rPr>
      </w:pPr>
      <w:r>
        <w:rPr>
          <w:rFonts w:hint="eastAsia" w:ascii="宋体" w:hAnsi="宋体" w:eastAsia="宋体" w:cs="宋体"/>
          <w:sz w:val="24"/>
          <w:szCs w:val="24"/>
        </w:rPr>
        <w:t>一、项目名称：新能源产品试验检测中心（二期）技改项目-</w:t>
      </w:r>
      <w:r>
        <w:rPr>
          <w:rFonts w:hint="eastAsia" w:ascii="宋体" w:hAnsi="宋体" w:eastAsia="宋体" w:cs="宋体"/>
          <w:sz w:val="24"/>
          <w:szCs w:val="24"/>
          <w:lang w:eastAsia="zh-CN"/>
        </w:rPr>
        <w:t>试验室环保设备设施</w:t>
      </w:r>
    </w:p>
    <w:p>
      <w:pPr>
        <w:snapToGrid w:val="0"/>
        <w:spacing w:line="360" w:lineRule="auto"/>
        <w:ind w:left="0" w:leftChars="0" w:firstLine="480" w:firstLineChars="200"/>
        <w:rPr>
          <w:rFonts w:hint="default" w:ascii="宋体" w:hAnsi="宋体" w:eastAsia="宋体" w:cs="宋体"/>
          <w:sz w:val="24"/>
          <w:szCs w:val="24"/>
          <w:u w:val="single"/>
          <w:shd w:val="pct10" w:color="auto" w:fill="FFFFFF"/>
          <w:lang w:val="en-US" w:eastAsia="zh-CN"/>
        </w:rPr>
      </w:pPr>
      <w:r>
        <w:rPr>
          <w:rFonts w:hint="eastAsia" w:ascii="宋体" w:hAnsi="宋体" w:eastAsia="宋体" w:cs="宋体"/>
          <w:sz w:val="24"/>
          <w:szCs w:val="24"/>
        </w:rPr>
        <w:t>二、建设地点：</w:t>
      </w:r>
      <w:r>
        <w:rPr>
          <w:rFonts w:hint="eastAsia" w:ascii="宋体" w:hAnsi="宋体" w:eastAsia="宋体" w:cs="宋体"/>
          <w:sz w:val="24"/>
          <w:szCs w:val="24"/>
          <w:lang w:val="en-US" w:eastAsia="zh-CN"/>
        </w:rPr>
        <w:t>济南市莱芜区莱城大道1188号</w:t>
      </w:r>
    </w:p>
    <w:p>
      <w:pPr>
        <w:spacing w:line="360" w:lineRule="auto"/>
        <w:ind w:left="0" w:leftChars="0" w:firstLine="480" w:firstLineChars="200"/>
        <w:rPr>
          <w:rFonts w:hint="eastAsia" w:ascii="宋体" w:hAnsi="宋体" w:eastAsia="宋体" w:cs="宋体"/>
          <w:sz w:val="24"/>
          <w:szCs w:val="24"/>
          <w:u w:val="single"/>
          <w:shd w:val="pct10" w:color="auto" w:fill="FFFFFF"/>
        </w:rPr>
      </w:pPr>
      <w:r>
        <w:rPr>
          <w:rFonts w:hint="eastAsia" w:ascii="宋体" w:hAnsi="宋体" w:eastAsia="宋体" w:cs="宋体"/>
          <w:sz w:val="24"/>
          <w:szCs w:val="24"/>
        </w:rPr>
        <w:t>三、使用地点：</w:t>
      </w:r>
      <w:r>
        <w:rPr>
          <w:rFonts w:hint="eastAsia" w:ascii="宋体" w:hAnsi="宋体" w:eastAsia="宋体" w:cs="宋体"/>
          <w:sz w:val="24"/>
          <w:szCs w:val="24"/>
          <w:lang w:val="en-US" w:eastAsia="zh-CN"/>
        </w:rPr>
        <w:t>济南市莱芜区莱城大道1188号</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四、工作制度：</w:t>
      </w:r>
      <w:r>
        <w:rPr>
          <w:rFonts w:hint="eastAsia" w:ascii="宋体" w:hAnsi="宋体" w:eastAsia="宋体" w:cs="宋体"/>
          <w:sz w:val="24"/>
          <w:szCs w:val="24"/>
          <w:highlight w:val="none"/>
        </w:rPr>
        <w:t>全年工作</w:t>
      </w:r>
      <w:r>
        <w:rPr>
          <w:rFonts w:hint="eastAsia" w:ascii="宋体" w:hAnsi="宋体" w:eastAsia="宋体" w:cs="宋体"/>
          <w:sz w:val="24"/>
          <w:szCs w:val="24"/>
          <w:highlight w:val="none"/>
          <w:lang w:val="en-US" w:eastAsia="zh-CN"/>
        </w:rPr>
        <w:t>365</w:t>
      </w:r>
      <w:r>
        <w:rPr>
          <w:rFonts w:hint="eastAsia" w:ascii="宋体" w:hAnsi="宋体" w:eastAsia="宋体" w:cs="宋体"/>
          <w:sz w:val="24"/>
          <w:szCs w:val="24"/>
          <w:highlight w:val="none"/>
        </w:rPr>
        <w:t>天、</w:t>
      </w:r>
      <w:r>
        <w:rPr>
          <w:rFonts w:hint="eastAsia" w:ascii="宋体" w:hAnsi="宋体" w:eastAsia="宋体" w:cs="宋体"/>
          <w:sz w:val="24"/>
          <w:szCs w:val="24"/>
          <w:highlight w:val="none"/>
          <w:lang w:val="en-US" w:eastAsia="zh-CN"/>
        </w:rPr>
        <w:t>三</w:t>
      </w:r>
      <w:r>
        <w:rPr>
          <w:rFonts w:hint="eastAsia" w:ascii="宋体" w:hAnsi="宋体" w:eastAsia="宋体" w:cs="宋体"/>
          <w:sz w:val="24"/>
          <w:szCs w:val="24"/>
          <w:highlight w:val="none"/>
        </w:rPr>
        <w:t>班制、设备年时基数</w:t>
      </w:r>
      <w:r>
        <w:rPr>
          <w:rFonts w:hint="eastAsia" w:ascii="宋体" w:hAnsi="宋体" w:eastAsia="宋体" w:cs="宋体"/>
          <w:sz w:val="24"/>
          <w:szCs w:val="24"/>
          <w:highlight w:val="none"/>
          <w:lang w:val="en-US" w:eastAsia="zh-CN"/>
        </w:rPr>
        <w:t>876</w:t>
      </w:r>
      <w:r>
        <w:rPr>
          <w:rFonts w:hint="eastAsia" w:ascii="宋体" w:hAnsi="宋体" w:eastAsia="宋体" w:cs="宋体"/>
          <w:sz w:val="24"/>
          <w:szCs w:val="24"/>
          <w:highlight w:val="none"/>
        </w:rPr>
        <w:t>0小时</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五、使用地点区域自然环境：</w:t>
      </w:r>
    </w:p>
    <w:p>
      <w:pPr>
        <w:numPr>
          <w:ilvl w:val="0"/>
          <w:numId w:val="11"/>
        </w:numPr>
        <w:spacing w:line="360" w:lineRule="auto"/>
        <w:rPr>
          <w:rFonts w:hint="eastAsia" w:ascii="宋体" w:hAnsi="宋体" w:eastAsia="宋体" w:cs="宋体"/>
          <w:sz w:val="24"/>
          <w:szCs w:val="24"/>
        </w:rPr>
      </w:pPr>
      <w:r>
        <w:rPr>
          <w:rFonts w:hint="eastAsia" w:ascii="宋体" w:hAnsi="宋体" w:eastAsia="宋体" w:cs="宋体"/>
          <w:sz w:val="24"/>
          <w:szCs w:val="24"/>
        </w:rPr>
        <w:t>海</w:t>
      </w:r>
      <w:r>
        <w:rPr>
          <w:rFonts w:hint="eastAsia" w:ascii="宋体" w:hAnsi="宋体" w:eastAsia="宋体" w:cs="宋体"/>
          <w:color w:val="000000"/>
          <w:sz w:val="24"/>
          <w:szCs w:val="24"/>
        </w:rPr>
        <w:t>拔</w:t>
      </w:r>
      <w:r>
        <w:rPr>
          <w:rFonts w:hint="eastAsia" w:ascii="宋体" w:hAnsi="宋体" w:eastAsia="宋体" w:cs="宋体"/>
          <w:sz w:val="24"/>
          <w:szCs w:val="24"/>
        </w:rPr>
        <w:t>高度：1000m以下</w:t>
      </w:r>
    </w:p>
    <w:p>
      <w:pPr>
        <w:numPr>
          <w:ilvl w:val="0"/>
          <w:numId w:val="11"/>
        </w:numPr>
        <w:spacing w:line="360" w:lineRule="auto"/>
        <w:rPr>
          <w:rFonts w:hint="eastAsia" w:ascii="宋体" w:hAnsi="宋体" w:eastAsia="宋体" w:cs="宋体"/>
          <w:sz w:val="24"/>
          <w:szCs w:val="24"/>
        </w:rPr>
      </w:pPr>
      <w:r>
        <w:rPr>
          <w:rFonts w:hint="eastAsia" w:ascii="宋体" w:hAnsi="宋体" w:eastAsia="宋体" w:cs="宋体"/>
          <w:sz w:val="24"/>
          <w:szCs w:val="24"/>
        </w:rPr>
        <w:t>环境温度：室外极端最低温度-20℃、极端最高温度45℃，昼夜最大温差25℃；室内温度5～42℃。</w:t>
      </w:r>
    </w:p>
    <w:p>
      <w:pPr>
        <w:numPr>
          <w:ilvl w:val="0"/>
          <w:numId w:val="11"/>
        </w:numPr>
        <w:spacing w:line="360" w:lineRule="auto"/>
        <w:rPr>
          <w:rFonts w:hint="eastAsia" w:ascii="宋体" w:hAnsi="宋体" w:eastAsia="宋体" w:cs="宋体"/>
          <w:sz w:val="24"/>
          <w:szCs w:val="24"/>
        </w:rPr>
      </w:pPr>
      <w:r>
        <w:rPr>
          <w:rFonts w:hint="eastAsia" w:ascii="宋体" w:hAnsi="宋体" w:eastAsia="宋体" w:cs="宋体"/>
          <w:sz w:val="24"/>
          <w:szCs w:val="24"/>
        </w:rPr>
        <w:t>相对湿度：年平均59%，最大95%、最小15%。</w:t>
      </w:r>
    </w:p>
    <w:p>
      <w:pPr>
        <w:numPr>
          <w:ilvl w:val="0"/>
          <w:numId w:val="11"/>
        </w:numPr>
        <w:spacing w:line="360" w:lineRule="auto"/>
        <w:rPr>
          <w:rFonts w:hint="eastAsia" w:ascii="宋体" w:hAnsi="宋体" w:eastAsia="宋体" w:cs="宋体"/>
          <w:sz w:val="24"/>
          <w:szCs w:val="24"/>
        </w:rPr>
      </w:pPr>
      <w:r>
        <w:rPr>
          <w:rFonts w:hint="eastAsia" w:ascii="宋体" w:hAnsi="宋体" w:eastAsia="宋体" w:cs="宋体"/>
          <w:sz w:val="24"/>
          <w:szCs w:val="24"/>
        </w:rPr>
        <w:t>地震设防裂度：七度。</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六、设备安装环境：</w:t>
      </w:r>
    </w:p>
    <w:p>
      <w:pPr>
        <w:numPr>
          <w:ilvl w:val="0"/>
          <w:numId w:val="12"/>
        </w:numPr>
        <w:spacing w:line="360" w:lineRule="auto"/>
        <w:rPr>
          <w:rFonts w:hint="eastAsia" w:ascii="宋体" w:hAnsi="宋体" w:eastAsia="宋体" w:cs="宋体"/>
          <w:sz w:val="24"/>
          <w:szCs w:val="24"/>
        </w:rPr>
      </w:pPr>
      <w:r>
        <w:rPr>
          <w:rFonts w:hint="eastAsia" w:ascii="宋体" w:hAnsi="宋体" w:eastAsia="宋体" w:cs="宋体"/>
          <w:sz w:val="24"/>
          <w:szCs w:val="24"/>
        </w:rPr>
        <w:t>电力：中国制式，供电电压690V±15%/380V±15%/220V±15%，供电频率50Hz±2%。</w:t>
      </w:r>
    </w:p>
    <w:p>
      <w:pPr>
        <w:numPr>
          <w:ilvl w:val="0"/>
          <w:numId w:val="12"/>
        </w:numPr>
        <w:spacing w:line="360" w:lineRule="auto"/>
        <w:rPr>
          <w:rFonts w:hint="eastAsia" w:ascii="宋体" w:hAnsi="宋体" w:eastAsia="宋体" w:cs="宋体"/>
          <w:sz w:val="24"/>
          <w:szCs w:val="24"/>
        </w:rPr>
      </w:pPr>
      <w:r>
        <w:rPr>
          <w:rFonts w:hint="eastAsia" w:ascii="宋体" w:hAnsi="宋体" w:eastAsia="宋体" w:cs="宋体"/>
          <w:sz w:val="24"/>
          <w:szCs w:val="24"/>
        </w:rPr>
        <w:t>给水：自来水供水。</w:t>
      </w:r>
    </w:p>
    <w:p>
      <w:pPr>
        <w:numPr>
          <w:ilvl w:val="0"/>
          <w:numId w:val="12"/>
        </w:numPr>
        <w:spacing w:line="360" w:lineRule="auto"/>
        <w:rPr>
          <w:rFonts w:hint="eastAsia" w:ascii="宋体" w:hAnsi="宋体" w:eastAsia="宋体" w:cs="宋体"/>
          <w:sz w:val="24"/>
          <w:szCs w:val="24"/>
        </w:rPr>
      </w:pPr>
      <w:r>
        <w:rPr>
          <w:rFonts w:hint="eastAsia" w:ascii="宋体" w:hAnsi="宋体" w:eastAsia="宋体" w:cs="宋体"/>
          <w:sz w:val="24"/>
          <w:szCs w:val="24"/>
        </w:rPr>
        <w:t>水泥地面。</w:t>
      </w:r>
    </w:p>
    <w:p>
      <w:pPr>
        <w:numPr>
          <w:ilvl w:val="0"/>
          <w:numId w:val="12"/>
        </w:num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招标范围</w:t>
      </w:r>
      <w:r>
        <w:rPr>
          <w:rFonts w:hint="eastAsia" w:ascii="宋体" w:hAnsi="宋体" w:eastAsia="宋体" w:cs="宋体"/>
          <w:sz w:val="24"/>
          <w:szCs w:val="24"/>
        </w:rPr>
        <w:t>基本描述：</w:t>
      </w:r>
      <w:r>
        <w:rPr>
          <w:rFonts w:hint="eastAsia" w:ascii="宋体" w:hAnsi="宋体" w:eastAsia="宋体" w:cs="宋体"/>
          <w:sz w:val="24"/>
          <w:szCs w:val="24"/>
          <w:lang w:val="en-US" w:eastAsia="zh-CN"/>
        </w:rPr>
        <w:t>本次招标范围为五号试验室（材料试验室）有机、无机废气、燃烧颗粒物等的排放及处理装置、通风橱及原子吸收罩等。</w:t>
      </w:r>
    </w:p>
    <w:p>
      <w:pPr>
        <w:numPr>
          <w:ilvl w:val="0"/>
          <w:numId w:val="12"/>
        </w:numPr>
        <w:spacing w:line="360" w:lineRule="auto"/>
        <w:rPr>
          <w:rFonts w:hint="eastAsia" w:ascii="宋体" w:hAnsi="宋体" w:eastAsia="宋体" w:cs="宋体"/>
          <w:sz w:val="24"/>
          <w:szCs w:val="24"/>
        </w:rPr>
      </w:pPr>
      <w:r>
        <w:rPr>
          <w:rFonts w:hint="eastAsia" w:ascii="宋体" w:hAnsi="宋体" w:eastAsia="宋体" w:cs="宋体"/>
          <w:sz w:val="24"/>
          <w:szCs w:val="24"/>
        </w:rPr>
        <w:t>环保设施建设基本要求：尾气排放管道需离地面</w:t>
      </w:r>
      <w:r>
        <w:rPr>
          <w:rFonts w:hint="eastAsia" w:ascii="宋体" w:hAnsi="宋体" w:eastAsia="宋体" w:cs="宋体"/>
          <w:sz w:val="24"/>
          <w:szCs w:val="24"/>
          <w:lang w:val="en-US" w:eastAsia="zh-CN"/>
        </w:rPr>
        <w:t>15</w:t>
      </w:r>
      <w:r>
        <w:rPr>
          <w:rFonts w:hint="eastAsia" w:ascii="宋体" w:hAnsi="宋体" w:eastAsia="宋体" w:cs="宋体"/>
          <w:sz w:val="24"/>
          <w:szCs w:val="24"/>
        </w:rPr>
        <w:t>米及以上且高过屋面最高点3米及以上</w:t>
      </w:r>
      <w:r>
        <w:rPr>
          <w:rFonts w:hint="eastAsia" w:ascii="宋体" w:hAnsi="宋体" w:eastAsia="宋体" w:cs="宋体"/>
          <w:sz w:val="24"/>
          <w:szCs w:val="24"/>
          <w:lang w:val="en-US" w:eastAsia="zh-CN"/>
        </w:rPr>
        <w:t>；五号试验室油品试验产生的含挥发性有机物、甲苯等有机废气收集后，需经两级活性炭吸附装置处理</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五号试验室油品试验产生的含硫酸雾等酸性废气收集后，经干式酸气吸附剂吸附处理；五号试验室燃烧试验产生的含颗粒物、一氧化碳等废气收集后，经烟尘净化装置处理，烟尘净化装置由招标方提供。</w:t>
      </w:r>
    </w:p>
    <w:p>
      <w:pPr>
        <w:numPr>
          <w:ilvl w:val="0"/>
          <w:numId w:val="12"/>
        </w:numPr>
        <w:spacing w:line="360" w:lineRule="auto"/>
        <w:rPr>
          <w:rFonts w:hint="eastAsia" w:ascii="宋体" w:hAnsi="宋体" w:eastAsia="宋体" w:cs="宋体"/>
          <w:sz w:val="24"/>
          <w:szCs w:val="24"/>
        </w:rPr>
      </w:pPr>
      <w:r>
        <w:rPr>
          <w:rFonts w:hint="eastAsia" w:ascii="宋体" w:hAnsi="宋体" w:eastAsia="宋体" w:cs="宋体"/>
          <w:sz w:val="24"/>
          <w:szCs w:val="24"/>
        </w:rPr>
        <w:t>试验室相关房间布置如下所示，具体执行图纸详见标书附件</w:t>
      </w:r>
      <w:r>
        <w:rPr>
          <w:rFonts w:hint="eastAsia" w:ascii="宋体" w:hAnsi="宋体" w:eastAsia="宋体" w:cs="宋体"/>
          <w:sz w:val="24"/>
          <w:szCs w:val="24"/>
          <w:lang w:eastAsia="zh-CN"/>
        </w:rPr>
        <w:t>。</w:t>
      </w:r>
    </w:p>
    <w:p>
      <w:pPr>
        <w:rPr>
          <w:rFonts w:ascii="宋体" w:hAnsi="宋体"/>
          <w:szCs w:val="24"/>
        </w:rPr>
      </w:pPr>
      <w:r>
        <w:rPr>
          <w:rFonts w:ascii="宋体" w:hAnsi="宋体"/>
          <w:szCs w:val="24"/>
        </w:rPr>
        <w:br w:type="page"/>
      </w:r>
    </w:p>
    <w:p>
      <w:pPr>
        <w:spacing w:line="360" w:lineRule="auto"/>
        <w:ind w:left="0"/>
        <w:rPr>
          <w:rFonts w:hint="eastAsia" w:ascii="宋体" w:hAnsi="宋体" w:eastAsia="宋体" w:cs="宋体"/>
          <w:sz w:val="24"/>
          <w:szCs w:val="24"/>
          <w:lang w:val="en-US" w:eastAsia="zh-CN"/>
        </w:rPr>
      </w:pPr>
    </w:p>
    <w:p>
      <w:pPr>
        <w:spacing w:line="360" w:lineRule="auto"/>
        <w:ind w:left="48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附：五号</w:t>
      </w:r>
      <w:r>
        <w:rPr>
          <w:rFonts w:hint="eastAsia" w:ascii="宋体" w:hAnsi="宋体" w:eastAsia="宋体" w:cs="宋体"/>
          <w:sz w:val="24"/>
          <w:szCs w:val="24"/>
        </w:rPr>
        <w:t>试验室</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材料试验室）工艺平面图附件</w:t>
      </w:r>
    </w:p>
    <w:p>
      <w:pPr>
        <w:pStyle w:val="19"/>
        <w:rPr>
          <w:rFonts w:hint="eastAsia" w:ascii="宋体" w:hAnsi="宋体" w:eastAsia="宋体" w:cs="宋体"/>
          <w:sz w:val="24"/>
          <w:szCs w:val="24"/>
          <w:lang w:val="en-US" w:eastAsia="zh-CN"/>
        </w:rPr>
      </w:pPr>
    </w:p>
    <w:p>
      <w:pPr>
        <w:pStyle w:val="1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object>
          <v:shape id="_x0000_i1025" o:spt="75" type="#_x0000_t75" style="height:65.5pt;width:72.5pt;" o:ole="t" filled="f" o:preferrelative="t" stroked="f" coordsize="21600,21600">
            <v:path/>
            <v:fill on="f" focussize="0,0"/>
            <v:stroke on="f"/>
            <v:imagedata r:id="rId40" o:title=""/>
            <o:lock v:ext="edit" aspectratio="t"/>
            <w10:wrap type="none"/>
            <w10:anchorlock/>
          </v:shape>
          <o:OLEObject Type="Embed" ProgID="AutoCAD.Drawing.24" ShapeID="_x0000_i1025" DrawAspect="Icon" ObjectID="_1468075725" r:id="rId39">
            <o:LockedField>false</o:LockedField>
          </o:OLEObject>
        </w:object>
      </w:r>
    </w:p>
    <w:p>
      <w:pPr>
        <w:spacing w:line="360" w:lineRule="auto"/>
        <w:jc w:val="left"/>
        <w:rPr>
          <w:rFonts w:hint="eastAsia" w:eastAsiaTheme="minorEastAsia"/>
          <w:lang w:eastAsia="zh-CN"/>
        </w:rPr>
      </w:pPr>
      <w:r>
        <w:br w:type="page"/>
      </w:r>
    </w:p>
    <w:p>
      <w:pPr>
        <w:pStyle w:val="3"/>
        <w:spacing w:before="120" w:after="120" w:line="360" w:lineRule="auto"/>
        <w:jc w:val="center"/>
        <w:rPr>
          <w:rFonts w:ascii="宋体" w:hAnsi="宋体" w:eastAsia="宋体"/>
          <w:sz w:val="24"/>
          <w:szCs w:val="24"/>
        </w:rPr>
      </w:pPr>
      <w:bookmarkStart w:id="36" w:name="_Toc9658379"/>
      <w:r>
        <w:rPr>
          <w:rFonts w:hint="eastAsia" w:ascii="宋体" w:hAnsi="宋体" w:eastAsia="宋体"/>
          <w:sz w:val="24"/>
          <w:szCs w:val="24"/>
        </w:rPr>
        <w:t>第二节  采购货物概况</w:t>
      </w:r>
      <w:bookmarkEnd w:id="36"/>
    </w:p>
    <w:p>
      <w:p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一、货物名称：</w:t>
      </w:r>
      <w:r>
        <w:rPr>
          <w:rFonts w:hint="eastAsia" w:ascii="宋体" w:hAnsi="宋体" w:eastAsia="宋体" w:cs="宋体"/>
          <w:sz w:val="24"/>
          <w:szCs w:val="24"/>
          <w:u w:val="none"/>
          <w:shd w:val="clear" w:color="auto" w:fill="auto"/>
        </w:rPr>
        <w:t>试验室环保设备设施</w:t>
      </w:r>
    </w:p>
    <w:p>
      <w:p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二、货物数量：</w:t>
      </w:r>
      <w:r>
        <w:rPr>
          <w:rFonts w:hint="eastAsia" w:ascii="宋体" w:hAnsi="宋体" w:eastAsia="宋体" w:cs="宋体"/>
          <w:sz w:val="24"/>
          <w:szCs w:val="24"/>
        </w:rPr>
        <w:t>详见下表</w:t>
      </w:r>
    </w:p>
    <w:p>
      <w:pPr>
        <w:spacing w:line="360" w:lineRule="auto"/>
        <w:ind w:firstLine="482" w:firstLineChars="200"/>
        <w:rPr>
          <w:rFonts w:hint="eastAsia" w:ascii="宋体" w:hAnsi="宋体" w:eastAsia="宋体" w:cs="宋体"/>
          <w:sz w:val="24"/>
          <w:szCs w:val="24"/>
          <w:u w:val="single"/>
          <w:shd w:val="pct10" w:color="auto" w:fill="FFFFFF"/>
        </w:rPr>
      </w:pPr>
      <w:r>
        <w:rPr>
          <w:rFonts w:hint="eastAsia" w:ascii="宋体" w:hAnsi="宋体" w:eastAsia="宋体" w:cs="宋体"/>
          <w:b/>
          <w:sz w:val="24"/>
          <w:szCs w:val="24"/>
        </w:rPr>
        <w:t>三、分投分中：</w:t>
      </w:r>
      <w:r>
        <w:rPr>
          <w:rFonts w:hint="eastAsia" w:ascii="宋体" w:hAnsi="宋体" w:eastAsia="宋体" w:cs="宋体"/>
          <w:b/>
          <w:sz w:val="24"/>
          <w:szCs w:val="24"/>
          <w:lang w:val="en-US" w:eastAsia="zh-CN"/>
        </w:rPr>
        <w:t>不</w:t>
      </w:r>
      <w:r>
        <w:rPr>
          <w:rFonts w:hint="eastAsia" w:ascii="宋体" w:hAnsi="宋体" w:eastAsia="宋体" w:cs="宋体"/>
          <w:sz w:val="24"/>
          <w:szCs w:val="24"/>
          <w:u w:val="none"/>
          <w:shd w:val="clear" w:color="auto" w:fill="auto"/>
        </w:rPr>
        <w:t>允许</w:t>
      </w:r>
    </w:p>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采购货物主要构成一览表</w:t>
      </w:r>
    </w:p>
    <w:tbl>
      <w:tblPr>
        <w:tblStyle w:val="38"/>
        <w:tblW w:w="987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08"/>
        <w:gridCol w:w="2867"/>
        <w:gridCol w:w="1500"/>
        <w:gridCol w:w="540"/>
        <w:gridCol w:w="810"/>
        <w:gridCol w:w="1417"/>
        <w:gridCol w:w="968"/>
        <w:gridCol w:w="96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14" w:hRule="atLeast"/>
          <w:jc w:val="center"/>
        </w:trPr>
        <w:tc>
          <w:tcPr>
            <w:tcW w:w="808" w:type="dxa"/>
            <w:tcBorders>
              <w:top w:val="single" w:color="000000" w:sz="4" w:space="0"/>
              <w:left w:val="single" w:color="000000" w:sz="4" w:space="0"/>
              <w:bottom w:val="single" w:color="000000" w:sz="4" w:space="0"/>
              <w:right w:val="single" w:color="000000" w:sz="4" w:space="0"/>
              <w:tl2br w:val="nil"/>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b w:val="0"/>
                <w:color w:val="000000"/>
                <w:sz w:val="24"/>
                <w:szCs w:val="24"/>
              </w:rPr>
              <w:t>序号</w:t>
            </w:r>
          </w:p>
        </w:tc>
        <w:tc>
          <w:tcPr>
            <w:tcW w:w="28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b w:val="0"/>
                <w:color w:val="000000"/>
                <w:sz w:val="24"/>
                <w:szCs w:val="24"/>
              </w:rPr>
              <w:t>名称</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b w:val="0"/>
                <w:color w:val="000000"/>
                <w:sz w:val="24"/>
                <w:szCs w:val="24"/>
              </w:rPr>
              <w:t>型号规格</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b w:val="0"/>
                <w:color w:val="000000"/>
                <w:sz w:val="24"/>
                <w:szCs w:val="24"/>
              </w:rPr>
              <w:t>单位</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b w:val="0"/>
                <w:color w:val="000000"/>
                <w:sz w:val="24"/>
                <w:szCs w:val="24"/>
              </w:rPr>
              <w:t>数量</w:t>
            </w:r>
          </w:p>
        </w:tc>
        <w:tc>
          <w:tcPr>
            <w:tcW w:w="14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b w:val="0"/>
                <w:color w:val="000000"/>
                <w:sz w:val="24"/>
                <w:szCs w:val="24"/>
              </w:rPr>
              <w:t>安装地点</w:t>
            </w:r>
          </w:p>
        </w:tc>
        <w:tc>
          <w:tcPr>
            <w:tcW w:w="9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b w:val="0"/>
                <w:color w:val="000000"/>
                <w:sz w:val="24"/>
                <w:szCs w:val="24"/>
              </w:rPr>
              <w:t>交货期</w:t>
            </w:r>
          </w:p>
        </w:tc>
        <w:tc>
          <w:tcPr>
            <w:tcW w:w="96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b w:val="0"/>
                <w:color w:val="000000"/>
                <w:sz w:val="24"/>
                <w:szCs w:val="24"/>
              </w:rPr>
              <w:t>批次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14" w:hRule="atLeast"/>
          <w:jc w:val="center"/>
        </w:trPr>
        <w:tc>
          <w:tcPr>
            <w:tcW w:w="80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b w:val="0"/>
                <w:color w:val="000000"/>
                <w:sz w:val="24"/>
                <w:szCs w:val="24"/>
              </w:rPr>
              <w:t>1</w:t>
            </w:r>
          </w:p>
        </w:tc>
        <w:tc>
          <w:tcPr>
            <w:tcW w:w="28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color w:val="000000"/>
                <w:sz w:val="24"/>
                <w:szCs w:val="24"/>
              </w:rPr>
              <w:t>试验室环保设备设施-</w:t>
            </w:r>
            <w:r>
              <w:rPr>
                <w:rFonts w:hint="eastAsia" w:ascii="宋体" w:hAnsi="宋体" w:eastAsia="宋体" w:cs="宋体"/>
                <w:color w:val="000000"/>
                <w:sz w:val="24"/>
                <w:szCs w:val="24"/>
                <w:lang w:val="en-US" w:eastAsia="zh-CN"/>
              </w:rPr>
              <w:t>材料试验室</w:t>
            </w:r>
          </w:p>
        </w:tc>
        <w:tc>
          <w:tcPr>
            <w:tcW w:w="15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lang w:val="en-US" w:eastAsia="zh-CN"/>
              </w:rPr>
            </w:pPr>
            <w:r>
              <w:rPr>
                <w:rFonts w:hint="eastAsia" w:ascii="宋体" w:hAnsi="宋体" w:eastAsia="宋体" w:cs="宋体"/>
                <w:b w:val="0"/>
                <w:color w:val="000000"/>
                <w:sz w:val="24"/>
                <w:szCs w:val="24"/>
              </w:rPr>
              <w:t>非标</w:t>
            </w:r>
            <w:r>
              <w:rPr>
                <w:rFonts w:hint="eastAsia" w:ascii="宋体" w:hAnsi="宋体" w:eastAsia="宋体" w:cs="宋体"/>
                <w:b w:val="0"/>
                <w:color w:val="000000"/>
                <w:sz w:val="24"/>
                <w:szCs w:val="24"/>
                <w:lang w:val="en-US" w:eastAsia="zh-CN"/>
              </w:rPr>
              <w:t>定制</w:t>
            </w:r>
          </w:p>
        </w:tc>
        <w:tc>
          <w:tcPr>
            <w:tcW w:w="5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highlight w:val="cyan"/>
              </w:rPr>
            </w:pPr>
            <w:r>
              <w:rPr>
                <w:rFonts w:hint="eastAsia" w:ascii="宋体" w:hAnsi="宋体" w:eastAsia="宋体" w:cs="宋体"/>
                <w:b w:val="0"/>
                <w:color w:val="000000"/>
                <w:sz w:val="24"/>
                <w:szCs w:val="24"/>
              </w:rPr>
              <w:t>套</w:t>
            </w:r>
          </w:p>
        </w:tc>
        <w:tc>
          <w:tcPr>
            <w:tcW w:w="8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b w:val="0"/>
                <w:color w:val="000000"/>
                <w:sz w:val="24"/>
                <w:szCs w:val="24"/>
              </w:rPr>
              <w:t>1</w:t>
            </w:r>
          </w:p>
        </w:tc>
        <w:tc>
          <w:tcPr>
            <w:tcW w:w="14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color w:val="000000"/>
                <w:sz w:val="24"/>
                <w:szCs w:val="24"/>
              </w:rPr>
              <w:t>济南市莱芜区莱城大道1188号</w:t>
            </w:r>
          </w:p>
        </w:tc>
        <w:tc>
          <w:tcPr>
            <w:tcW w:w="9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r>
              <w:rPr>
                <w:rFonts w:hint="eastAsia" w:ascii="宋体" w:hAnsi="宋体" w:eastAsia="宋体" w:cs="宋体"/>
                <w:b w:val="0"/>
                <w:color w:val="000000"/>
                <w:sz w:val="24"/>
                <w:szCs w:val="24"/>
                <w:lang w:val="en-US" w:eastAsia="zh-CN"/>
              </w:rPr>
              <w:t>2026-04-30</w:t>
            </w:r>
          </w:p>
        </w:tc>
        <w:tc>
          <w:tcPr>
            <w:tcW w:w="96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color w:val="000000"/>
                <w:sz w:val="24"/>
                <w:szCs w:val="24"/>
              </w:rPr>
            </w:pPr>
          </w:p>
        </w:tc>
      </w:tr>
    </w:tbl>
    <w:p>
      <w:pPr>
        <w:spacing w:line="360" w:lineRule="auto"/>
        <w:ind w:firstLine="480" w:firstLineChars="200"/>
        <w:rPr>
          <w:rFonts w:hint="eastAsia" w:ascii="宋体" w:hAnsi="宋体" w:eastAsia="宋体" w:cs="宋体"/>
          <w:sz w:val="24"/>
          <w:szCs w:val="24"/>
        </w:rPr>
      </w:pP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备注：本表所列采购货物仅为货物的主要构成部分，应配套供货以及招标方所列其它货物（或设备）和服务，请投标方认真阅读“供货范围”。若有异议，不管是多么微小，都应在投标文件“商务偏离”章节中予以详细说明。</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bidi="ar"/>
        </w:rPr>
        <w:t>四、采购货物特别说明</w:t>
      </w:r>
    </w:p>
    <w:p>
      <w:pPr>
        <w:spacing w:line="360" w:lineRule="auto"/>
        <w:ind w:firstLine="480" w:firstLineChars="200"/>
        <w:rPr>
          <w:rFonts w:hint="eastAsia" w:ascii="宋体" w:hAnsi="宋体" w:eastAsia="宋体" w:cs="宋体"/>
          <w:sz w:val="24"/>
          <w:szCs w:val="24"/>
          <w:u w:val="single"/>
          <w:shd w:val="pct10" w:color="auto" w:fill="FFFFFF"/>
        </w:rPr>
      </w:pPr>
      <w:r>
        <w:rPr>
          <w:rFonts w:hint="eastAsia" w:ascii="宋体" w:hAnsi="宋体" w:eastAsia="宋体" w:cs="宋体"/>
          <w:sz w:val="24"/>
          <w:szCs w:val="24"/>
          <w:lang w:bidi="ar"/>
        </w:rPr>
        <w:t>招标方所列货物的名称和规格型号，如为某一供应商所特有，则该名称和规格型号可作参考；但要求投标方所提供的货物必须满足本技术标书实质性要求。</w:t>
      </w:r>
    </w:p>
    <w:p>
      <w:pPr>
        <w:rPr>
          <w:rFonts w:ascii="宋体" w:hAnsi="宋体" w:cs="宋体"/>
          <w:sz w:val="28"/>
          <w:szCs w:val="28"/>
        </w:rPr>
      </w:pPr>
      <w:bookmarkStart w:id="37" w:name="_Toc9658380"/>
      <w:r>
        <w:rPr>
          <w:rFonts w:hint="eastAsia" w:ascii="宋体" w:hAnsi="宋体" w:cs="宋体"/>
          <w:sz w:val="28"/>
          <w:szCs w:val="28"/>
        </w:rPr>
        <w:br w:type="page"/>
      </w:r>
    </w:p>
    <w:p>
      <w:pPr>
        <w:pStyle w:val="2"/>
        <w:spacing w:before="120" w:after="120" w:line="360" w:lineRule="auto"/>
        <w:jc w:val="center"/>
        <w:rPr>
          <w:rFonts w:hint="eastAsia" w:ascii="黑体" w:hAnsi="黑体" w:eastAsia="黑体" w:cs="黑体"/>
          <w:b w:val="0"/>
          <w:sz w:val="28"/>
          <w:szCs w:val="28"/>
        </w:rPr>
      </w:pPr>
      <w:r>
        <w:rPr>
          <w:rFonts w:hint="eastAsia" w:ascii="黑体" w:hAnsi="黑体" w:eastAsia="黑体" w:cs="黑体"/>
          <w:b w:val="0"/>
          <w:sz w:val="28"/>
          <w:szCs w:val="28"/>
        </w:rPr>
        <w:t>第二章  技术要求</w:t>
      </w:r>
      <w:bookmarkEnd w:id="37"/>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一、特别提示</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1、本章技术要求，仅对功能、设计、结构、性能、安装和试验检验等方面，提出了最低和一般性的技术要求，并未对一切技术细节作出规定。</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2、本技术要求所使用的标准、规范等，如与投标方所执行的标准、规范不一致时，应按高于本技术要求所列的标准、规范执行。</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3、投标方认为所供货物必需由招标方配备、解决或提供的其它要求，如设备基础隔振和减振设施、软化水、洁净气源等，均应在投标文件“技术偏离”中予以充分说明。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方应根据招投标货物具体要求，提出对厂房、设备基础（或安装平台）、公用设施、消防、环保等超出招标文件、投标文件、答疑文件、技术交流文件、技术协议书和合同等规定的、有特殊需要的解释、说明和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5、无论是否有技术偏离，投标方均应在投标文件“技术偏离”中明确作出有无说明。若有异议，不管是多么微小，投标方必须予以明确和详细的说明或澄清。</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6、为避免投标方优势在招标评审时漏项，质保期超出本技术标书要求的，应当在投标文件“技术偏离”中特别注明。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7、投标文件中，针对“特别提示”条款所做的回应，将作为投标方能否中标的重要依据之一。</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二、基本要求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1、投标方所供的货物，必须符合中国最新版的法律、法规和相关标准、规范的要求，符合项目所在地政府有关特殊要求。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2、投标方所供货物涉及的专利权技术以及知识产权保护的其它技术等，应保证招标方不因此受到任何侵权指控以及实际损失。</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3、投标方应保证所供货物的先进性、可靠性、经济性和实用性，并为全新货物（或设备）。</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4、投标方应满足招标方提出的各项技术要求，必要时应当免费提供技术承诺或担保。</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5、投标方应保证所供货物（或设备）为中国政府指定或规定的主管部门公布的非淘汰货物（或设备），并尽力提供中国政府指定或规定的主管部门认可的环保型和节能型货物（或设备）。</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6、投标方应保证所供货物的完整性和成套性，能保证货物的正常运行、使用。</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7、投标方应对招标方采购的货物所涉及的技术、产能等信息负有保密义务，招标方拥有追究投标方泄密责任的权利；招标方如有需要，投标方应无条件签署保密协议。</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三、执行标准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1、招标方此处所列标准仅为涉及的主要标准，而且不保证其为最新版执行标准；投标方应当在投标文件中认真予以填写、补充和修改完善。</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2、投标方需要执行的标准，应当采用所供货物通过招标方组织的最终验收之日已经开始执行的最新标准。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4、采购货物没有国家或专业（部）标准的，按企业标准执行时，投标方应在合同签署之前，将所涉及的企业标准提供给招标方确认。</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5、采购货物如果采用国际标准，其执行标准由投标方提供、招标方确认。</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7、符合《中国重汽新能源产品试验检测中心项目环境影响报告表》和《中国重汽新能源产品试验检测中心项目（</w:t>
      </w:r>
      <w:r>
        <w:rPr>
          <w:rFonts w:hint="eastAsia" w:ascii="宋体" w:hAnsi="宋体" w:eastAsia="宋体" w:cs="宋体"/>
          <w:sz w:val="24"/>
          <w:szCs w:val="24"/>
          <w:lang w:val="en-US" w:eastAsia="zh-CN"/>
        </w:rPr>
        <w:t>二</w:t>
      </w:r>
      <w:r>
        <w:rPr>
          <w:rFonts w:hint="eastAsia" w:ascii="宋体" w:hAnsi="宋体" w:eastAsia="宋体" w:cs="宋体"/>
          <w:sz w:val="24"/>
          <w:szCs w:val="24"/>
        </w:rPr>
        <w:t>期）环境影响报告表的批复》的相关内容</w:t>
      </w:r>
      <w:r>
        <w:rPr>
          <w:rFonts w:hint="eastAsia" w:ascii="宋体" w:hAnsi="宋体" w:eastAsia="宋体" w:cs="宋体"/>
          <w:sz w:val="24"/>
          <w:szCs w:val="24"/>
          <w:lang w:eastAsia="zh-CN"/>
        </w:rPr>
        <w:t>。</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8、主要适用的标准如下：</w:t>
      </w:r>
    </w:p>
    <w:p>
      <w:pPr>
        <w:pStyle w:val="19"/>
        <w:spacing w:line="360" w:lineRule="auto"/>
        <w:ind w:firstLine="480" w:firstLineChars="200"/>
        <w:rPr>
          <w:rFonts w:hint="eastAsia" w:hAnsi="宋体" w:eastAsia="宋体" w:cs="宋体"/>
          <w:sz w:val="24"/>
          <w:szCs w:val="24"/>
        </w:rPr>
      </w:pPr>
      <w:r>
        <w:rPr>
          <w:rFonts w:hint="eastAsia" w:hAnsi="宋体" w:eastAsia="宋体" w:cs="宋体"/>
          <w:sz w:val="24"/>
          <w:szCs w:val="24"/>
        </w:rPr>
        <w:t>T/CIQA3-2020《实验室风幕式排风柜系统技术规范》</w:t>
      </w:r>
    </w:p>
    <w:p>
      <w:pPr>
        <w:pStyle w:val="19"/>
        <w:spacing w:line="360" w:lineRule="auto"/>
        <w:ind w:firstLine="480" w:firstLineChars="200"/>
        <w:rPr>
          <w:rFonts w:hint="eastAsia" w:hAnsi="宋体" w:eastAsia="宋体" w:cs="宋体"/>
          <w:sz w:val="24"/>
          <w:szCs w:val="24"/>
        </w:rPr>
      </w:pPr>
      <w:r>
        <w:rPr>
          <w:rFonts w:hint="eastAsia" w:hAnsi="宋体" w:eastAsia="宋体" w:cs="宋体"/>
          <w:sz w:val="24"/>
          <w:szCs w:val="24"/>
        </w:rPr>
        <w:t>GB 50019-2015《工业建筑供暖通风与空气调节设计规范》</w:t>
      </w:r>
    </w:p>
    <w:p>
      <w:pPr>
        <w:pStyle w:val="19"/>
        <w:spacing w:line="360" w:lineRule="auto"/>
        <w:ind w:firstLine="480" w:firstLineChars="200"/>
        <w:rPr>
          <w:rFonts w:hint="eastAsia" w:hAnsi="宋体" w:eastAsia="宋体" w:cs="宋体"/>
          <w:sz w:val="24"/>
          <w:szCs w:val="24"/>
        </w:rPr>
      </w:pPr>
      <w:r>
        <w:rPr>
          <w:rFonts w:hint="eastAsia" w:hAnsi="宋体" w:eastAsia="宋体" w:cs="宋体"/>
          <w:sz w:val="24"/>
          <w:szCs w:val="24"/>
        </w:rPr>
        <w:t>HG/T 20698-2009《化工采暖通风与空气调节设计规范》</w:t>
      </w:r>
    </w:p>
    <w:p>
      <w:pPr>
        <w:pStyle w:val="19"/>
        <w:spacing w:line="360" w:lineRule="auto"/>
        <w:ind w:firstLine="480" w:firstLineChars="200"/>
        <w:rPr>
          <w:rFonts w:hint="eastAsia" w:hAnsi="宋体" w:eastAsia="宋体" w:cs="宋体"/>
          <w:sz w:val="24"/>
          <w:szCs w:val="24"/>
        </w:rPr>
      </w:pPr>
      <w:r>
        <w:rPr>
          <w:rFonts w:hint="eastAsia" w:hAnsi="宋体" w:eastAsia="宋体" w:cs="宋体"/>
          <w:sz w:val="24"/>
          <w:szCs w:val="24"/>
        </w:rPr>
        <w:t>GB 50738-2011《通风与空调工程施工规范》</w:t>
      </w:r>
    </w:p>
    <w:p>
      <w:pPr>
        <w:pStyle w:val="19"/>
        <w:spacing w:line="360" w:lineRule="auto"/>
        <w:ind w:firstLine="480" w:firstLineChars="200"/>
        <w:rPr>
          <w:rFonts w:hint="eastAsia" w:hAnsi="宋体" w:eastAsia="宋体" w:cs="宋体"/>
          <w:sz w:val="24"/>
          <w:szCs w:val="24"/>
        </w:rPr>
      </w:pPr>
      <w:r>
        <w:rPr>
          <w:rFonts w:hint="eastAsia" w:hAnsi="宋体" w:eastAsia="宋体" w:cs="宋体"/>
          <w:sz w:val="24"/>
          <w:szCs w:val="24"/>
        </w:rPr>
        <w:t>GB 50243-2016《通风与空调工程施工质量验收规范》</w:t>
      </w:r>
    </w:p>
    <w:p>
      <w:pPr>
        <w:pStyle w:val="19"/>
        <w:spacing w:line="360" w:lineRule="auto"/>
        <w:ind w:firstLine="480" w:firstLineChars="200"/>
        <w:rPr>
          <w:rFonts w:hint="eastAsia" w:hAnsi="宋体" w:eastAsia="宋体" w:cs="宋体"/>
          <w:sz w:val="24"/>
          <w:szCs w:val="24"/>
        </w:rPr>
      </w:pPr>
      <w:r>
        <w:rPr>
          <w:rFonts w:hint="eastAsia" w:hAnsi="宋体" w:eastAsia="宋体" w:cs="宋体"/>
          <w:sz w:val="24"/>
          <w:szCs w:val="24"/>
        </w:rPr>
        <w:t>SH/T 3103-2009《石油化工中心化验室设计规范》</w:t>
      </w:r>
    </w:p>
    <w:p>
      <w:pPr>
        <w:pStyle w:val="19"/>
        <w:spacing w:line="360" w:lineRule="auto"/>
        <w:ind w:firstLine="480" w:firstLineChars="200"/>
        <w:rPr>
          <w:rFonts w:hint="eastAsia" w:hAnsi="宋体" w:eastAsia="宋体" w:cs="宋体"/>
          <w:sz w:val="24"/>
          <w:szCs w:val="24"/>
        </w:rPr>
      </w:pPr>
      <w:r>
        <w:rPr>
          <w:rFonts w:hint="eastAsia" w:hAnsi="宋体" w:eastAsia="宋体" w:cs="宋体"/>
          <w:sz w:val="24"/>
          <w:szCs w:val="24"/>
        </w:rPr>
        <w:t>GB</w:t>
      </w:r>
      <w:r>
        <w:rPr>
          <w:rFonts w:hint="eastAsia" w:hAnsi="宋体" w:eastAsia="宋体" w:cs="宋体"/>
          <w:sz w:val="24"/>
          <w:szCs w:val="24"/>
          <w:lang w:val="en-US" w:eastAsia="zh-CN"/>
        </w:rPr>
        <w:t xml:space="preserve"> </w:t>
      </w:r>
      <w:r>
        <w:rPr>
          <w:rFonts w:hint="eastAsia" w:hAnsi="宋体" w:eastAsia="宋体" w:cs="宋体"/>
          <w:sz w:val="24"/>
          <w:szCs w:val="24"/>
        </w:rPr>
        <w:t xml:space="preserve">50235-2010《工业金属管道施工规范》                            </w:t>
      </w:r>
    </w:p>
    <w:p>
      <w:pPr>
        <w:pStyle w:val="19"/>
        <w:spacing w:line="360" w:lineRule="auto"/>
        <w:ind w:firstLine="480" w:firstLineChars="200"/>
        <w:rPr>
          <w:rFonts w:hint="eastAsia" w:hAnsi="宋体" w:eastAsia="宋体" w:cs="宋体"/>
          <w:sz w:val="24"/>
          <w:szCs w:val="24"/>
        </w:rPr>
      </w:pPr>
      <w:r>
        <w:rPr>
          <w:rFonts w:hint="eastAsia" w:hAnsi="宋体" w:eastAsia="宋体" w:cs="宋体"/>
          <w:sz w:val="24"/>
          <w:szCs w:val="24"/>
        </w:rPr>
        <w:t xml:space="preserve">GB 50184-2011《工业金属管道工程施工质量验收规范》               </w:t>
      </w:r>
    </w:p>
    <w:p>
      <w:pPr>
        <w:pStyle w:val="19"/>
        <w:spacing w:line="360" w:lineRule="auto"/>
        <w:ind w:firstLine="480" w:firstLineChars="200"/>
        <w:rPr>
          <w:rFonts w:hint="eastAsia" w:hAnsi="宋体" w:eastAsia="宋体" w:cs="宋体"/>
          <w:sz w:val="24"/>
          <w:szCs w:val="24"/>
        </w:rPr>
      </w:pPr>
      <w:r>
        <w:rPr>
          <w:rFonts w:hint="eastAsia" w:hAnsi="宋体" w:eastAsia="宋体" w:cs="宋体"/>
          <w:sz w:val="24"/>
          <w:szCs w:val="24"/>
        </w:rPr>
        <w:t>GB</w:t>
      </w:r>
      <w:r>
        <w:rPr>
          <w:rFonts w:hint="eastAsia" w:hAnsi="宋体" w:eastAsia="宋体" w:cs="宋体"/>
          <w:sz w:val="24"/>
          <w:szCs w:val="24"/>
          <w:lang w:val="en-US" w:eastAsia="zh-CN"/>
        </w:rPr>
        <w:t xml:space="preserve"> </w:t>
      </w:r>
      <w:r>
        <w:rPr>
          <w:rFonts w:hint="eastAsia" w:hAnsi="宋体" w:eastAsia="宋体" w:cs="宋体"/>
          <w:sz w:val="24"/>
          <w:szCs w:val="24"/>
        </w:rPr>
        <w:t xml:space="preserve">50236-2011《现场设备、工业管道焊接工程施工规范》 </w:t>
      </w:r>
    </w:p>
    <w:p>
      <w:pPr>
        <w:pStyle w:val="19"/>
        <w:spacing w:line="360" w:lineRule="auto"/>
        <w:ind w:firstLine="480" w:firstLineChars="200"/>
        <w:rPr>
          <w:rFonts w:hint="eastAsia" w:hAnsi="宋体" w:eastAsia="宋体" w:cs="宋体"/>
          <w:sz w:val="24"/>
          <w:szCs w:val="24"/>
        </w:rPr>
      </w:pPr>
      <w:r>
        <w:rPr>
          <w:rFonts w:hint="eastAsia" w:ascii="宋体" w:hAnsi="宋体" w:eastAsia="宋体" w:cs="宋体"/>
          <w:sz w:val="24"/>
          <w:szCs w:val="28"/>
        </w:rPr>
        <w:t>DB37/T  3535-2019《固定污染源废气监测点位设置技术规范》</w:t>
      </w:r>
      <w:r>
        <w:rPr>
          <w:rFonts w:hint="eastAsia" w:hAnsi="宋体" w:eastAsia="宋体" w:cs="宋体"/>
          <w:sz w:val="24"/>
          <w:szCs w:val="24"/>
        </w:rPr>
        <w:t xml:space="preserve"> </w:t>
      </w:r>
    </w:p>
    <w:p>
      <w:pPr>
        <w:pStyle w:val="19"/>
        <w:spacing w:line="360" w:lineRule="auto"/>
        <w:ind w:firstLine="480" w:firstLineChars="200"/>
        <w:rPr>
          <w:rFonts w:hint="eastAsia" w:hAnsi="宋体" w:eastAsia="宋体" w:cs="宋体"/>
          <w:sz w:val="24"/>
          <w:szCs w:val="24"/>
          <w:lang w:val="en-US" w:eastAsia="zh-CN"/>
        </w:rPr>
      </w:pPr>
      <w:r>
        <w:rPr>
          <w:rFonts w:hint="eastAsia" w:hAnsi="宋体" w:eastAsia="宋体" w:cs="宋体"/>
          <w:sz w:val="24"/>
          <w:szCs w:val="24"/>
        </w:rPr>
        <w:t>JGJ/T 141-2017</w:t>
      </w:r>
      <w:r>
        <w:rPr>
          <w:rFonts w:hint="eastAsia" w:hAnsi="宋体" w:eastAsia="宋体" w:cs="宋体"/>
          <w:sz w:val="24"/>
          <w:szCs w:val="24"/>
          <w:lang w:eastAsia="zh-CN"/>
        </w:rPr>
        <w:t>《</w:t>
      </w:r>
      <w:r>
        <w:rPr>
          <w:rFonts w:hint="eastAsia" w:hAnsi="宋体" w:eastAsia="宋体" w:cs="宋体"/>
          <w:sz w:val="24"/>
          <w:szCs w:val="24"/>
          <w:lang w:val="en-US" w:eastAsia="zh-CN"/>
        </w:rPr>
        <w:t>通风管道技术规程》</w:t>
      </w:r>
    </w:p>
    <w:p>
      <w:pPr>
        <w:pStyle w:val="19"/>
        <w:spacing w:line="360" w:lineRule="auto"/>
        <w:ind w:firstLine="480" w:firstLineChars="200"/>
        <w:rPr>
          <w:rFonts w:hint="eastAsia" w:hAnsi="宋体" w:eastAsia="宋体" w:cs="宋体"/>
          <w:sz w:val="24"/>
          <w:szCs w:val="24"/>
          <w:lang w:val="en-US" w:eastAsia="zh-CN"/>
        </w:rPr>
      </w:pPr>
      <w:r>
        <w:rPr>
          <w:rFonts w:hint="default" w:hAnsi="宋体" w:eastAsia="宋体" w:cs="宋体"/>
          <w:sz w:val="24"/>
          <w:szCs w:val="24"/>
          <w:lang w:val="en-US" w:eastAsia="zh-CN"/>
        </w:rPr>
        <w:t>GB/T 16758</w:t>
      </w:r>
      <w:r>
        <w:rPr>
          <w:rFonts w:hint="eastAsia" w:hAnsi="宋体" w:eastAsia="宋体" w:cs="宋体"/>
          <w:sz w:val="24"/>
          <w:szCs w:val="24"/>
          <w:lang w:val="en-US" w:eastAsia="zh-CN"/>
        </w:rPr>
        <w:t>-2008《排风罩的分类及技术条件》</w:t>
      </w:r>
    </w:p>
    <w:p>
      <w:pPr>
        <w:pStyle w:val="19"/>
        <w:spacing w:line="360" w:lineRule="auto"/>
        <w:ind w:firstLine="480" w:firstLineChars="200"/>
        <w:rPr>
          <w:rFonts w:hint="default" w:hAnsi="宋体" w:eastAsia="宋体" w:cs="宋体"/>
          <w:sz w:val="24"/>
          <w:szCs w:val="24"/>
          <w:lang w:val="en-US" w:eastAsia="zh-CN"/>
        </w:rPr>
      </w:pPr>
      <w:r>
        <w:rPr>
          <w:rFonts w:hint="default" w:hAnsi="宋体" w:eastAsia="宋体" w:cs="宋体"/>
          <w:sz w:val="24"/>
          <w:szCs w:val="24"/>
          <w:lang w:val="en-US" w:eastAsia="zh-CN"/>
        </w:rPr>
        <w:t>AQ/T 4274-2016</w:t>
      </w:r>
      <w:r>
        <w:rPr>
          <w:rFonts w:hint="eastAsia" w:hAnsi="宋体" w:eastAsia="宋体" w:cs="宋体"/>
          <w:sz w:val="24"/>
          <w:szCs w:val="24"/>
          <w:lang w:val="en-US" w:eastAsia="zh-CN"/>
        </w:rPr>
        <w:t>《局部排风设施控制风速检测与评估技术规范》</w:t>
      </w:r>
    </w:p>
    <w:p>
      <w:pPr>
        <w:spacing w:line="360" w:lineRule="auto"/>
        <w:ind w:firstLine="361" w:firstLineChars="150"/>
        <w:rPr>
          <w:rFonts w:hint="eastAsia" w:ascii="宋体" w:hAnsi="宋体" w:eastAsia="宋体" w:cs="宋体"/>
          <w:b/>
          <w:sz w:val="24"/>
          <w:szCs w:val="24"/>
        </w:rPr>
      </w:pPr>
      <w:r>
        <w:rPr>
          <w:rFonts w:hint="eastAsia" w:ascii="宋体" w:hAnsi="宋体" w:eastAsia="宋体" w:cs="宋体"/>
          <w:b/>
          <w:sz w:val="24"/>
          <w:szCs w:val="24"/>
        </w:rPr>
        <w:t>四、货物需求一览表</w:t>
      </w:r>
    </w:p>
    <w:p>
      <w:pPr>
        <w:spacing w:line="360" w:lineRule="auto"/>
        <w:ind w:firstLine="360" w:firstLineChars="150"/>
        <w:rPr>
          <w:rFonts w:hint="eastAsia" w:ascii="宋体" w:hAnsi="宋体" w:eastAsia="宋体" w:cs="宋体"/>
          <w:b/>
          <w:sz w:val="24"/>
          <w:szCs w:val="24"/>
        </w:rPr>
      </w:pPr>
      <w:r>
        <w:rPr>
          <w:rFonts w:hint="eastAsia" w:ascii="宋体" w:hAnsi="宋体" w:eastAsia="宋体" w:cs="宋体"/>
          <w:sz w:val="24"/>
          <w:szCs w:val="24"/>
        </w:rPr>
        <w:t>详见第二节采购货物主要构成一览表。</w:t>
      </w:r>
    </w:p>
    <w:p>
      <w:pPr>
        <w:spacing w:line="360" w:lineRule="auto"/>
        <w:ind w:firstLine="361" w:firstLineChars="150"/>
        <w:rPr>
          <w:rFonts w:hint="eastAsia" w:ascii="宋体" w:hAnsi="宋体" w:eastAsia="宋体" w:cs="宋体"/>
          <w:b/>
          <w:sz w:val="24"/>
          <w:szCs w:val="24"/>
          <w:lang w:val="en-US" w:eastAsia="zh-CN"/>
        </w:rPr>
      </w:pPr>
      <w:r>
        <w:rPr>
          <w:rFonts w:hint="eastAsia" w:ascii="宋体" w:hAnsi="宋体" w:eastAsia="宋体" w:cs="宋体"/>
          <w:b/>
          <w:sz w:val="24"/>
          <w:szCs w:val="24"/>
        </w:rPr>
        <w:t>五、技术规范</w:t>
      </w:r>
    </w:p>
    <w:p>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1、整体说明（即总则，分项论述未涉及部分，以总则为准）</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1.1排风管道设计参数：排风主</w:t>
      </w:r>
      <w:r>
        <w:rPr>
          <w:rFonts w:hint="eastAsia" w:ascii="宋体" w:hAnsi="宋体" w:eastAsia="宋体" w:cs="宋体"/>
          <w:b w:val="0"/>
          <w:bCs/>
          <w:sz w:val="24"/>
          <w:szCs w:val="24"/>
          <w:lang w:val="en-US" w:eastAsia="zh-CN"/>
        </w:rPr>
        <w:t>管道</w:t>
      </w:r>
      <w:r>
        <w:rPr>
          <w:rFonts w:hint="eastAsia" w:ascii="宋体" w:hAnsi="宋体" w:eastAsia="宋体" w:cs="宋体"/>
          <w:b w:val="0"/>
          <w:bCs/>
          <w:sz w:val="24"/>
          <w:szCs w:val="24"/>
          <w:lang w:val="en-GB"/>
        </w:rPr>
        <w:t>按照风速8-10m/s计算，支</w:t>
      </w:r>
      <w:r>
        <w:rPr>
          <w:rFonts w:hint="eastAsia" w:ascii="宋体" w:hAnsi="宋体" w:eastAsia="宋体" w:cs="宋体"/>
          <w:b w:val="0"/>
          <w:bCs/>
          <w:sz w:val="24"/>
          <w:szCs w:val="24"/>
          <w:lang w:val="en-US" w:eastAsia="zh-CN"/>
        </w:rPr>
        <w:t>管道</w:t>
      </w:r>
      <w:r>
        <w:rPr>
          <w:rFonts w:hint="eastAsia" w:ascii="宋体" w:hAnsi="宋体" w:eastAsia="宋体" w:cs="宋体"/>
          <w:b w:val="0"/>
          <w:bCs/>
          <w:sz w:val="24"/>
          <w:szCs w:val="24"/>
          <w:lang w:val="en-GB"/>
        </w:rPr>
        <w:t>按照风速6-8m/s计算。</w:t>
      </w:r>
    </w:p>
    <w:p>
      <w:pPr>
        <w:spacing w:line="360" w:lineRule="auto"/>
        <w:ind w:firstLine="480" w:firstLineChars="200"/>
        <w:rPr>
          <w:rFonts w:hint="default" w:ascii="宋体" w:hAnsi="宋体" w:eastAsia="宋体" w:cs="宋体"/>
          <w:b w:val="0"/>
          <w:bCs/>
          <w:sz w:val="24"/>
          <w:szCs w:val="24"/>
          <w:lang w:val="en-US"/>
        </w:rPr>
      </w:pPr>
      <w:r>
        <w:rPr>
          <w:rFonts w:hint="eastAsia" w:ascii="宋体" w:hAnsi="宋体" w:eastAsia="宋体" w:cs="宋体"/>
          <w:b w:val="0"/>
          <w:bCs/>
          <w:sz w:val="24"/>
          <w:szCs w:val="24"/>
          <w:lang w:val="en-GB"/>
        </w:rPr>
        <w:t>1.2新风管道</w:t>
      </w:r>
      <w:r>
        <w:rPr>
          <w:rFonts w:hint="eastAsia" w:ascii="宋体" w:hAnsi="宋体" w:eastAsia="宋体" w:cs="宋体"/>
          <w:b w:val="0"/>
          <w:bCs/>
          <w:sz w:val="24"/>
          <w:szCs w:val="24"/>
          <w:lang w:val="en-US" w:eastAsia="zh-CN"/>
        </w:rPr>
        <w:t>材质</w:t>
      </w:r>
      <w:r>
        <w:rPr>
          <w:rFonts w:hint="eastAsia" w:ascii="宋体" w:hAnsi="宋体" w:eastAsia="宋体" w:cs="宋体"/>
          <w:b w:val="0"/>
          <w:bCs/>
          <w:sz w:val="24"/>
          <w:szCs w:val="24"/>
          <w:lang w:val="en-GB"/>
        </w:rPr>
        <w:t>采用镀锌钢板，</w:t>
      </w:r>
      <w:r>
        <w:rPr>
          <w:rFonts w:hint="eastAsia" w:ascii="宋体" w:hAnsi="宋体" w:eastAsia="宋体" w:cs="宋体"/>
          <w:b w:val="0"/>
          <w:bCs/>
          <w:sz w:val="24"/>
          <w:szCs w:val="24"/>
          <w:lang w:val="en-US" w:eastAsia="zh-CN"/>
        </w:rPr>
        <w:t>外部用橡塑保温棉做保温，</w:t>
      </w:r>
      <w:r>
        <w:rPr>
          <w:rFonts w:hint="eastAsia" w:ascii="宋体" w:hAnsi="宋体" w:eastAsia="宋体" w:cs="宋体"/>
          <w:b w:val="0"/>
          <w:bCs/>
          <w:sz w:val="24"/>
          <w:szCs w:val="24"/>
          <w:lang w:val="en-GB"/>
        </w:rPr>
        <w:t>排风管道采用V2级防火PP材质</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US" w:eastAsia="zh-CN"/>
        </w:rPr>
        <w:t>其中阻燃试验室排风管道需为</w:t>
      </w:r>
      <w:r>
        <w:rPr>
          <w:rFonts w:hint="eastAsia" w:ascii="宋体" w:hAnsi="宋体" w:eastAsia="宋体" w:cs="宋体"/>
          <w:b w:val="0"/>
          <w:bCs/>
          <w:sz w:val="24"/>
          <w:szCs w:val="24"/>
          <w:lang w:val="en-GB"/>
        </w:rPr>
        <w:t>镀锌钢板制作</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US" w:eastAsia="zh-CN"/>
        </w:rPr>
        <w:t>管道厚度要求严格执行JGJ/T 141-2017及GB50243-2016标准。</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1.3投标方应熟悉</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工艺流程及尾废形式，系统满足排补风需求，满足</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的正常使用需求。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1.4整个排补风系统管道、阀门、风机、新风机组等设备符合上述规范技术</w:t>
      </w:r>
      <w:r>
        <w:rPr>
          <w:rFonts w:hint="eastAsia" w:ascii="宋体" w:hAnsi="宋体" w:eastAsia="宋体" w:cs="宋体"/>
          <w:b w:val="0"/>
          <w:bCs/>
          <w:sz w:val="24"/>
          <w:szCs w:val="24"/>
          <w:lang w:val="en-US" w:eastAsia="zh-CN"/>
        </w:rPr>
        <w:t>要求</w:t>
      </w:r>
      <w:r>
        <w:rPr>
          <w:rFonts w:hint="eastAsia" w:ascii="宋体" w:hAnsi="宋体" w:eastAsia="宋体" w:cs="宋体"/>
          <w:b w:val="0"/>
          <w:bCs/>
          <w:sz w:val="24"/>
          <w:szCs w:val="24"/>
          <w:lang w:val="en-GB"/>
        </w:rPr>
        <w:t>。</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1.5排风风机和新风机组等产生振动的设备必须采用减震装置。</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1.6尾排系统满足大气排放标准及当地环保部门要求。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1.7投标方必须配合试验设备厂商完善试验室排烟系统的深化设计、现场安装等工作。</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1.8排烟管道设计应考虑美观、大方，无特殊情况，避免在试验室厂房外</w:t>
      </w:r>
      <w:r>
        <w:rPr>
          <w:rFonts w:hint="eastAsia" w:ascii="宋体" w:hAnsi="宋体" w:eastAsia="宋体" w:cs="宋体"/>
          <w:b w:val="0"/>
          <w:bCs/>
          <w:sz w:val="24"/>
          <w:szCs w:val="24"/>
          <w:lang w:val="en-US" w:eastAsia="zh-CN"/>
        </w:rPr>
        <w:t>地面</w:t>
      </w:r>
      <w:r>
        <w:rPr>
          <w:rFonts w:hint="eastAsia" w:ascii="宋体" w:hAnsi="宋体" w:eastAsia="宋体" w:cs="宋体"/>
          <w:b w:val="0"/>
          <w:bCs/>
          <w:sz w:val="24"/>
          <w:szCs w:val="24"/>
          <w:lang w:val="en-GB"/>
        </w:rPr>
        <w:t>直接竖立排烟管道。</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9</w:t>
      </w:r>
      <w:r>
        <w:rPr>
          <w:rFonts w:hint="eastAsia" w:ascii="宋体" w:hAnsi="宋体" w:eastAsia="宋体" w:cs="宋体"/>
          <w:b w:val="0"/>
          <w:bCs/>
          <w:sz w:val="24"/>
          <w:szCs w:val="24"/>
          <w:lang w:val="en-GB"/>
        </w:rPr>
        <w:t>程序权限要求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9</w:t>
      </w:r>
      <w:r>
        <w:rPr>
          <w:rFonts w:hint="eastAsia" w:ascii="宋体" w:hAnsi="宋体" w:eastAsia="宋体" w:cs="宋体"/>
          <w:b w:val="0"/>
          <w:bCs/>
          <w:sz w:val="24"/>
          <w:szCs w:val="24"/>
          <w:lang w:val="en-GB"/>
        </w:rPr>
        <w:t>.1投标方必须提供所有设备程序的源代码，包括但不限于PLC程序、HMI程序、机器人程序、视觉程序、伺服、上位机(含SCADA、产线MES等)等，并根据招标方需求，免费提供相对应的参数点址。</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9</w:t>
      </w:r>
      <w:r>
        <w:rPr>
          <w:rFonts w:hint="eastAsia" w:ascii="宋体" w:hAnsi="宋体" w:eastAsia="宋体" w:cs="宋体"/>
          <w:b w:val="0"/>
          <w:bCs/>
          <w:sz w:val="24"/>
          <w:szCs w:val="24"/>
          <w:lang w:val="en-GB"/>
        </w:rPr>
        <w:t>.2投标方所提供的程序不得设置任何密码、保护等限制手段，PLC不得设置修改下载权限，功能块不得设置密码保护。</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9</w:t>
      </w:r>
      <w:r>
        <w:rPr>
          <w:rFonts w:hint="eastAsia" w:ascii="宋体" w:hAnsi="宋体" w:eastAsia="宋体" w:cs="宋体"/>
          <w:b w:val="0"/>
          <w:bCs/>
          <w:sz w:val="24"/>
          <w:szCs w:val="24"/>
          <w:lang w:val="en-GB"/>
        </w:rPr>
        <w:t>.3HMI界面等需要密码保护的程序，投标方必须提供所有级别的用户名、密码。</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9</w:t>
      </w:r>
      <w:r>
        <w:rPr>
          <w:rFonts w:hint="eastAsia" w:ascii="宋体" w:hAnsi="宋体" w:eastAsia="宋体" w:cs="宋体"/>
          <w:b w:val="0"/>
          <w:bCs/>
          <w:sz w:val="24"/>
          <w:szCs w:val="24"/>
          <w:lang w:val="en-GB"/>
        </w:rPr>
        <w:t>.4投标方需在设备入场前提供设备程序源码，HMI界面各级用户名和密码，并保证与现场程序一致。</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9</w:t>
      </w:r>
      <w:r>
        <w:rPr>
          <w:rFonts w:hint="eastAsia" w:ascii="宋体" w:hAnsi="宋体" w:eastAsia="宋体" w:cs="宋体"/>
          <w:b w:val="0"/>
          <w:bCs/>
          <w:sz w:val="24"/>
          <w:szCs w:val="24"/>
          <w:lang w:val="en-GB"/>
        </w:rPr>
        <w:t>.5投标方需在终验收前提供最新的设备程序源码和电气图纸，图纸要求为可编辑原格式（EPLAN、CAD格式）且与实际接线一致。</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w:t>
      </w:r>
      <w:r>
        <w:rPr>
          <w:rFonts w:hint="eastAsia" w:ascii="宋体" w:hAnsi="宋体" w:eastAsia="宋体" w:cs="宋体"/>
          <w:b w:val="0"/>
          <w:bCs/>
          <w:sz w:val="24"/>
          <w:szCs w:val="24"/>
          <w:lang w:val="en-US" w:eastAsia="zh-CN"/>
        </w:rPr>
        <w:t>0</w:t>
      </w:r>
      <w:r>
        <w:rPr>
          <w:rFonts w:hint="eastAsia" w:ascii="宋体" w:hAnsi="宋体" w:eastAsia="宋体" w:cs="宋体"/>
          <w:b w:val="0"/>
          <w:bCs/>
          <w:sz w:val="24"/>
          <w:szCs w:val="24"/>
          <w:lang w:val="en-GB"/>
        </w:rPr>
        <w:t>数采要求</w:t>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ab/>
      </w: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10</w:t>
      </w:r>
      <w:r>
        <w:rPr>
          <w:rFonts w:hint="eastAsia" w:ascii="宋体" w:hAnsi="宋体" w:eastAsia="宋体" w:cs="宋体"/>
          <w:b w:val="0"/>
          <w:bCs/>
          <w:sz w:val="24"/>
          <w:szCs w:val="24"/>
          <w:lang w:val="en-GB"/>
        </w:rPr>
        <w:t>.1投标方免费开放所有通讯接口，包括但不限于以太网、RS232、RS485、PROFIBUS、PROFINET、MODBUS等常见接口，以及设备特有的专用接口。</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10</w:t>
      </w:r>
      <w:r>
        <w:rPr>
          <w:rFonts w:hint="eastAsia" w:ascii="宋体" w:hAnsi="宋体" w:eastAsia="宋体" w:cs="宋体"/>
          <w:b w:val="0"/>
          <w:bCs/>
          <w:sz w:val="24"/>
          <w:szCs w:val="24"/>
          <w:lang w:val="en-GB"/>
        </w:rPr>
        <w:t>.2设备及上位控制系统（工控机）应接入工厂工控网络，用于数据采集。</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w:t>
      </w:r>
      <w:r>
        <w:rPr>
          <w:rFonts w:hint="eastAsia" w:ascii="宋体" w:hAnsi="宋体" w:eastAsia="宋体" w:cs="宋体"/>
          <w:b w:val="0"/>
          <w:bCs/>
          <w:sz w:val="24"/>
          <w:szCs w:val="24"/>
          <w:lang w:val="en-US" w:eastAsia="zh-CN"/>
        </w:rPr>
        <w:t>0</w:t>
      </w:r>
      <w:r>
        <w:rPr>
          <w:rFonts w:hint="eastAsia" w:ascii="宋体" w:hAnsi="宋体" w:eastAsia="宋体" w:cs="宋体"/>
          <w:b w:val="0"/>
          <w:bCs/>
          <w:sz w:val="24"/>
          <w:szCs w:val="24"/>
          <w:lang w:val="en-GB"/>
        </w:rPr>
        <w:t>.3投标方免费提供应用层面系统接口，包括但不限于WebAPI、MQTT、NCLink、OPCUA、OpenProtocol、Socket等，以及第三方接口开发包。</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w:t>
      </w:r>
      <w:r>
        <w:rPr>
          <w:rFonts w:hint="eastAsia" w:ascii="宋体" w:hAnsi="宋体" w:eastAsia="宋体" w:cs="宋体"/>
          <w:b w:val="0"/>
          <w:bCs/>
          <w:sz w:val="24"/>
          <w:szCs w:val="24"/>
          <w:lang w:val="en-US" w:eastAsia="zh-CN"/>
        </w:rPr>
        <w:t>0</w:t>
      </w:r>
      <w:r>
        <w:rPr>
          <w:rFonts w:hint="eastAsia" w:ascii="宋体" w:hAnsi="宋体" w:eastAsia="宋体" w:cs="宋体"/>
          <w:b w:val="0"/>
          <w:bCs/>
          <w:sz w:val="24"/>
          <w:szCs w:val="24"/>
          <w:lang w:val="en-GB"/>
        </w:rPr>
        <w:t>.4投标方免费提供数据交互功能，交互数据包括但不限于实时数据、历史数据、报警信息等。</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w:t>
      </w:r>
      <w:r>
        <w:rPr>
          <w:rFonts w:hint="eastAsia" w:ascii="宋体" w:hAnsi="宋体" w:eastAsia="宋体" w:cs="宋体"/>
          <w:b w:val="0"/>
          <w:bCs/>
          <w:sz w:val="24"/>
          <w:szCs w:val="24"/>
          <w:lang w:val="en-US" w:eastAsia="zh-CN"/>
        </w:rPr>
        <w:t>0</w:t>
      </w:r>
      <w:r>
        <w:rPr>
          <w:rFonts w:hint="eastAsia" w:ascii="宋体" w:hAnsi="宋体" w:eastAsia="宋体" w:cs="宋体"/>
          <w:b w:val="0"/>
          <w:bCs/>
          <w:sz w:val="24"/>
          <w:szCs w:val="24"/>
          <w:lang w:val="en-GB"/>
        </w:rPr>
        <w:t>.5设备数据采集在设备上电状态下持续进行，不受设备待机、休眠等状态影响(主动上传设备除外)。</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w:t>
      </w:r>
      <w:r>
        <w:rPr>
          <w:rFonts w:hint="eastAsia" w:ascii="宋体" w:hAnsi="宋体" w:eastAsia="宋体" w:cs="宋体"/>
          <w:b w:val="0"/>
          <w:bCs/>
          <w:sz w:val="24"/>
          <w:szCs w:val="24"/>
          <w:lang w:val="en-US" w:eastAsia="zh-CN"/>
        </w:rPr>
        <w:t>0</w:t>
      </w:r>
      <w:r>
        <w:rPr>
          <w:rFonts w:hint="eastAsia" w:ascii="宋体" w:hAnsi="宋体" w:eastAsia="宋体" w:cs="宋体"/>
          <w:b w:val="0"/>
          <w:bCs/>
          <w:sz w:val="24"/>
          <w:szCs w:val="24"/>
          <w:lang w:val="en-GB"/>
        </w:rPr>
        <w:t>.6所有上位机程序、专用软件、数据库等提供所有权限的用户名和密码。</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w:t>
      </w:r>
      <w:r>
        <w:rPr>
          <w:rFonts w:hint="eastAsia" w:ascii="宋体" w:hAnsi="宋体" w:eastAsia="宋体" w:cs="宋体"/>
          <w:b w:val="0"/>
          <w:bCs/>
          <w:sz w:val="24"/>
          <w:szCs w:val="24"/>
          <w:lang w:val="en-US" w:eastAsia="zh-CN"/>
        </w:rPr>
        <w:t>0</w:t>
      </w:r>
      <w:r>
        <w:rPr>
          <w:rFonts w:hint="eastAsia" w:ascii="宋体" w:hAnsi="宋体" w:eastAsia="宋体" w:cs="宋体"/>
          <w:b w:val="0"/>
          <w:bCs/>
          <w:sz w:val="24"/>
          <w:szCs w:val="24"/>
          <w:lang w:val="en-GB"/>
        </w:rPr>
        <w:t>.7设备使用周期内，投标方免费派遣技术人员与招标方调试团队共同进行设备通讯接口的调试工作。</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w:t>
      </w:r>
      <w:r>
        <w:rPr>
          <w:rFonts w:hint="eastAsia" w:ascii="宋体" w:hAnsi="宋体" w:eastAsia="宋体" w:cs="宋体"/>
          <w:b w:val="0"/>
          <w:bCs/>
          <w:sz w:val="24"/>
          <w:szCs w:val="24"/>
          <w:lang w:val="en-US" w:eastAsia="zh-CN"/>
        </w:rPr>
        <w:t>0</w:t>
      </w:r>
      <w:r>
        <w:rPr>
          <w:rFonts w:hint="eastAsia" w:ascii="宋体" w:hAnsi="宋体" w:eastAsia="宋体" w:cs="宋体"/>
          <w:b w:val="0"/>
          <w:bCs/>
          <w:sz w:val="24"/>
          <w:szCs w:val="24"/>
          <w:lang w:val="en-GB"/>
        </w:rPr>
        <w:t>.8投标方在设备入场前提供接口的技术文档和参数说明，包括但不限于接口协议、通讯速率、数据格式等。</w:t>
      </w:r>
    </w:p>
    <w:p>
      <w:pPr>
        <w:pStyle w:val="19"/>
        <w:spacing w:line="360" w:lineRule="auto"/>
        <w:ind w:firstLine="480" w:firstLineChars="200"/>
        <w:rPr>
          <w:rFonts w:hint="eastAsia" w:ascii="宋体" w:hAnsi="宋体" w:eastAsia="宋体" w:cs="宋体"/>
          <w:sz w:val="24"/>
          <w:szCs w:val="28"/>
          <w:lang w:val="en-GB"/>
        </w:rPr>
      </w:pPr>
      <w:r>
        <w:rPr>
          <w:rFonts w:hint="eastAsia" w:ascii="宋体" w:hAnsi="宋体" w:eastAsia="宋体" w:cs="宋体"/>
          <w:sz w:val="24"/>
          <w:szCs w:val="28"/>
          <w:lang w:val="en-GB"/>
        </w:rPr>
        <w:t>1.1</w:t>
      </w:r>
      <w:r>
        <w:rPr>
          <w:rFonts w:hint="eastAsia" w:ascii="宋体" w:hAnsi="宋体" w:eastAsia="宋体" w:cs="宋体"/>
          <w:sz w:val="24"/>
          <w:szCs w:val="28"/>
          <w:lang w:val="en-US" w:eastAsia="zh-CN"/>
        </w:rPr>
        <w:t>1</w:t>
      </w:r>
      <w:r>
        <w:rPr>
          <w:rFonts w:hint="eastAsia" w:ascii="宋体" w:hAnsi="宋体" w:eastAsia="宋体" w:cs="宋体"/>
          <w:sz w:val="24"/>
          <w:szCs w:val="28"/>
          <w:lang w:val="en-GB"/>
        </w:rPr>
        <w:t>所有穿墙管安装完成之后，穿墙口均需做消音处理，保证隔壁房间噪音不因穿墙口漏音而增加。室内所有穿墙孔由投标方负责开孔及封堵。</w:t>
      </w:r>
    </w:p>
    <w:p>
      <w:pPr>
        <w:pStyle w:val="19"/>
        <w:spacing w:line="360" w:lineRule="auto"/>
        <w:ind w:firstLine="480" w:firstLineChars="200"/>
        <w:rPr>
          <w:rFonts w:hint="eastAsia" w:ascii="宋体" w:hAnsi="宋体" w:eastAsia="宋体" w:cs="宋体"/>
          <w:sz w:val="24"/>
          <w:szCs w:val="28"/>
          <w:lang w:val="en-GB"/>
        </w:rPr>
      </w:pPr>
      <w:r>
        <w:rPr>
          <w:rFonts w:hint="eastAsia" w:ascii="宋体" w:hAnsi="宋体" w:eastAsia="宋体" w:cs="宋体"/>
          <w:sz w:val="24"/>
          <w:szCs w:val="28"/>
          <w:lang w:val="en-GB"/>
        </w:rPr>
        <w:t>1.1</w:t>
      </w:r>
      <w:r>
        <w:rPr>
          <w:rFonts w:hint="eastAsia" w:ascii="宋体" w:hAnsi="宋体" w:eastAsia="宋体" w:cs="宋体"/>
          <w:sz w:val="24"/>
          <w:szCs w:val="28"/>
          <w:lang w:val="en-US" w:eastAsia="zh-CN"/>
        </w:rPr>
        <w:t>2</w:t>
      </w:r>
      <w:r>
        <w:rPr>
          <w:rFonts w:hint="eastAsia" w:ascii="宋体" w:hAnsi="宋体" w:eastAsia="宋体" w:cs="宋体"/>
          <w:sz w:val="24"/>
          <w:szCs w:val="28"/>
          <w:lang w:val="en-GB"/>
        </w:rPr>
        <w:t>需带有永久排污检测用的人员上下楼梯、检验平台及标准采样口。厂房屋面至排烟管道检修平台的人员上下楼梯由投标方负责，厂房内至屋面的人员上下楼梯由招标方负责。</w:t>
      </w:r>
      <w:r>
        <w:rPr>
          <w:rFonts w:hint="eastAsia" w:ascii="宋体" w:hAnsi="宋体" w:eastAsia="宋体" w:cs="宋体"/>
          <w:sz w:val="24"/>
          <w:szCs w:val="24"/>
          <w:lang w:val="en-US" w:eastAsia="zh-CN"/>
        </w:rPr>
        <w:t>必须严格执行</w:t>
      </w:r>
      <w:r>
        <w:rPr>
          <w:rFonts w:hint="eastAsia" w:ascii="宋体" w:hAnsi="宋体" w:eastAsia="宋体" w:cs="宋体"/>
          <w:sz w:val="24"/>
          <w:szCs w:val="24"/>
        </w:rPr>
        <w:t>《固定污染源废气监测点位设置技术规范》DB37</w:t>
      </w:r>
      <w:r>
        <w:rPr>
          <w:rFonts w:hint="eastAsia" w:hAnsi="宋体" w:eastAsia="宋体" w:cs="宋体"/>
          <w:sz w:val="24"/>
          <w:szCs w:val="24"/>
          <w:lang w:val="en-US" w:eastAsia="zh-CN"/>
        </w:rPr>
        <w:t>/</w:t>
      </w:r>
      <w:r>
        <w:rPr>
          <w:rFonts w:hint="eastAsia" w:ascii="宋体" w:hAnsi="宋体" w:eastAsia="宋体" w:cs="宋体"/>
          <w:sz w:val="24"/>
          <w:szCs w:val="24"/>
        </w:rPr>
        <w:t>T 3535-201</w:t>
      </w:r>
      <w:r>
        <w:rPr>
          <w:rFonts w:hint="eastAsia" w:ascii="宋体" w:hAnsi="宋体" w:eastAsia="宋体" w:cs="宋体"/>
          <w:sz w:val="24"/>
          <w:szCs w:val="24"/>
          <w:lang w:val="en-US" w:eastAsia="zh-CN"/>
        </w:rPr>
        <w:t>9的相关技术要求</w:t>
      </w:r>
      <w:r>
        <w:rPr>
          <w:rFonts w:hint="eastAsia" w:hAnsi="宋体" w:eastAsia="宋体" w:cs="宋体"/>
          <w:sz w:val="24"/>
          <w:szCs w:val="24"/>
          <w:lang w:val="en-US" w:eastAsia="zh-CN"/>
        </w:rPr>
        <w:t>。</w:t>
      </w:r>
      <w:r>
        <w:rPr>
          <w:rFonts w:hint="eastAsia" w:ascii="宋体" w:hAnsi="宋体" w:eastAsia="宋体" w:cs="宋体"/>
          <w:sz w:val="24"/>
          <w:szCs w:val="28"/>
          <w:lang w:val="en-GB"/>
        </w:rPr>
        <w:t>排烟管道穿墙及楼板孔需进行防护处理，烟囱带防雨帽(罩)、防护网及防雷措施。厂房屋面的开孔、开洞由招标方负责，孔洞防护措施由投标方负责。</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2、排补风控制系统性能要求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2.1保证同一套系统内的通风设备风量均衡。</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w:t>
      </w:r>
      <w:r>
        <w:rPr>
          <w:rFonts w:hint="eastAsia" w:ascii="宋体" w:hAnsi="宋体" w:eastAsia="宋体" w:cs="宋体"/>
          <w:b w:val="0"/>
          <w:bCs/>
          <w:sz w:val="24"/>
          <w:szCs w:val="24"/>
          <w:lang w:val="en-US" w:eastAsia="zh-CN"/>
        </w:rPr>
        <w:t>2</w:t>
      </w:r>
      <w:r>
        <w:rPr>
          <w:rFonts w:hint="eastAsia" w:ascii="宋体" w:hAnsi="宋体" w:eastAsia="宋体" w:cs="宋体"/>
          <w:b w:val="0"/>
          <w:bCs/>
          <w:sz w:val="24"/>
          <w:szCs w:val="24"/>
          <w:lang w:val="en-GB"/>
        </w:rPr>
        <w:t>任何一台通风柜的开启和关闭，其他通风柜的风量波动≤5%。</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2.3每台通风设备可单独控制，不影响其它设备的使用，任何一个可以首先开启，也可以最后关闭。</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2.4风机</w:t>
      </w:r>
      <w:r>
        <w:rPr>
          <w:rFonts w:hint="eastAsia" w:ascii="宋体" w:hAnsi="宋体" w:eastAsia="宋体" w:cs="宋体"/>
          <w:b w:val="0"/>
          <w:bCs/>
          <w:sz w:val="24"/>
          <w:szCs w:val="24"/>
          <w:lang w:val="en-US" w:eastAsia="zh-CN"/>
        </w:rPr>
        <w:t>变频控制，</w:t>
      </w:r>
      <w:r>
        <w:rPr>
          <w:rFonts w:hint="eastAsia" w:ascii="宋体" w:hAnsi="宋体" w:eastAsia="宋体" w:cs="宋体"/>
          <w:b w:val="0"/>
          <w:bCs/>
          <w:sz w:val="24"/>
          <w:szCs w:val="24"/>
          <w:lang w:val="en-GB"/>
        </w:rPr>
        <w:t>排风量随通风设备开启个数的</w:t>
      </w:r>
      <w:r>
        <w:rPr>
          <w:rFonts w:hint="eastAsia" w:ascii="宋体" w:hAnsi="宋体" w:eastAsia="宋体" w:cs="宋体"/>
          <w:b w:val="0"/>
          <w:bCs/>
          <w:sz w:val="24"/>
          <w:szCs w:val="24"/>
          <w:lang w:val="en-US" w:eastAsia="zh-CN"/>
        </w:rPr>
        <w:t>变化而变化</w:t>
      </w:r>
      <w:r>
        <w:rPr>
          <w:rFonts w:hint="eastAsia" w:ascii="宋体" w:hAnsi="宋体" w:eastAsia="宋体" w:cs="宋体"/>
          <w:b w:val="0"/>
          <w:bCs/>
          <w:sz w:val="24"/>
          <w:szCs w:val="24"/>
          <w:lang w:val="en-GB"/>
        </w:rPr>
        <w:t>。无论单台或多台通风设备工作时，能够精确控制风机（转速）排风量与设备总排风量需求相同步，平滑调节。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2.5管道压差传感器测量管道内压力将信号传递给中央控制器。由中央控制器控制变频器进行准确的调整频率来提供系统恰当的风量。</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2.6当自动控制方式出现故障时，可从自动控制切换为手动控制。</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2.7通风</w:t>
      </w:r>
      <w:r>
        <w:rPr>
          <w:rFonts w:hint="eastAsia" w:ascii="宋体" w:hAnsi="宋体" w:eastAsia="宋体" w:cs="宋体"/>
          <w:b w:val="0"/>
          <w:bCs/>
          <w:sz w:val="24"/>
          <w:szCs w:val="24"/>
          <w:lang w:val="en-US" w:eastAsia="zh-CN"/>
        </w:rPr>
        <w:t>系统</w:t>
      </w:r>
      <w:r>
        <w:rPr>
          <w:rFonts w:hint="eastAsia" w:ascii="宋体" w:hAnsi="宋体" w:eastAsia="宋体" w:cs="宋体"/>
          <w:b w:val="0"/>
          <w:bCs/>
          <w:sz w:val="24"/>
          <w:szCs w:val="24"/>
          <w:lang w:val="en-GB"/>
        </w:rPr>
        <w:t>全部运行半小时后，</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内的温度无变化，</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内温度（夏季≤26℃、冬季≥22℃）</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2.8</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需要设计新风系统，以保证</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温度、气流平稳,内外压力均衡。</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2.9系统的排风量</w:t>
      </w:r>
      <w:r>
        <w:rPr>
          <w:rFonts w:hint="eastAsia" w:ascii="宋体" w:hAnsi="宋体" w:eastAsia="宋体" w:cs="宋体"/>
          <w:b w:val="0"/>
          <w:bCs/>
          <w:sz w:val="24"/>
          <w:szCs w:val="24"/>
          <w:lang w:val="en-US" w:eastAsia="zh-CN"/>
        </w:rPr>
        <w:t>应</w:t>
      </w:r>
      <w:r>
        <w:rPr>
          <w:rFonts w:hint="eastAsia" w:ascii="宋体" w:hAnsi="宋体" w:eastAsia="宋体" w:cs="宋体"/>
          <w:b w:val="0"/>
          <w:bCs/>
          <w:sz w:val="24"/>
          <w:szCs w:val="24"/>
          <w:lang w:val="en-GB"/>
        </w:rPr>
        <w:t>与系统的新风量相同。</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2.10排风与补风联动控制，维持</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的温度平稳，保证房间合理的压力差；</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2.11中央控制器</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2.11.1控制原理采用管道定静压方式控制。通过</w:t>
      </w:r>
      <w:r>
        <w:rPr>
          <w:rFonts w:hint="eastAsia" w:ascii="宋体" w:hAnsi="宋体" w:eastAsia="宋体" w:cs="宋体"/>
          <w:b w:val="0"/>
          <w:bCs/>
          <w:sz w:val="24"/>
          <w:szCs w:val="24"/>
          <w:lang w:val="en-US" w:eastAsia="zh-CN"/>
        </w:rPr>
        <w:t>实时</w:t>
      </w:r>
      <w:r>
        <w:rPr>
          <w:rFonts w:hint="eastAsia" w:ascii="宋体" w:hAnsi="宋体" w:eastAsia="宋体" w:cs="宋体"/>
          <w:b w:val="0"/>
          <w:bCs/>
          <w:sz w:val="24"/>
          <w:szCs w:val="24"/>
          <w:lang w:val="en-GB"/>
        </w:rPr>
        <w:t>采集排风管道内的压力值，经过PID控制算法实时调节风机变频器输出频率，调节管道内的压力值，使管道压力保持在设定压力范围内。</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2.11.2系统可以采集系统内所有通风柜及相关通风设备的运行状态及通风量需求，实时调节风机排风量。</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2.11.3系统可以兼容CANBUS及MODBUS</w:t>
      </w:r>
      <w:r>
        <w:rPr>
          <w:rFonts w:hint="eastAsia" w:ascii="宋体" w:hAnsi="宋体" w:eastAsia="宋体" w:cs="宋体"/>
          <w:b w:val="0"/>
          <w:bCs/>
          <w:sz w:val="24"/>
          <w:szCs w:val="24"/>
          <w:lang w:val="en-US" w:eastAsia="zh-CN"/>
        </w:rPr>
        <w:t>等</w:t>
      </w:r>
      <w:r>
        <w:rPr>
          <w:rFonts w:hint="eastAsia" w:ascii="宋体" w:hAnsi="宋体" w:eastAsia="宋体" w:cs="宋体"/>
          <w:b w:val="0"/>
          <w:bCs/>
          <w:sz w:val="24"/>
          <w:szCs w:val="24"/>
          <w:lang w:val="en-GB"/>
        </w:rPr>
        <w:t>通讯协议，实时采集系统内的相关通风设备的运行状态及工作参数；并可实现与相关厂家产品的兼容互控功能等。</w:t>
      </w:r>
    </w:p>
    <w:p>
      <w:pPr>
        <w:spacing w:line="360" w:lineRule="auto"/>
        <w:ind w:firstLine="480" w:firstLineChars="200"/>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GB"/>
        </w:rPr>
        <w:t>2.11.4系统采用触摸屏设计人机交互界面。可以实时显示系统的运行状态、输出频率、管道实时压力值等关键工作参数；可以显示各种故障报警提示，并可以通过人机界面现场更改相关参数，满足客户不同的应用需求。</w:t>
      </w:r>
      <w:r>
        <w:rPr>
          <w:rFonts w:hint="eastAsia" w:ascii="宋体" w:hAnsi="宋体" w:eastAsia="宋体" w:cs="宋体"/>
          <w:b w:val="0"/>
          <w:bCs/>
          <w:sz w:val="24"/>
          <w:szCs w:val="24"/>
          <w:lang w:val="en-US" w:eastAsia="zh-CN"/>
        </w:rPr>
        <w:t>触摸屏位置由招标方后续指定。</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2.11.5系统预留多个输入输出端口，可实现尾气处理等相关设备的联动控制。</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2.11.6系统可以实现微排风功能。</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2.11.7系统可以实现定时开机及定时关机功能。</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2.11.8废气处理设备与风机启停联动，设有过载保护并可以检测PH值、压差传感器，监测设备的运行状态。并具有监测报警系统：当压力损耗高于设定值或设备出现故障时，能实现就地报警和远程报警。</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3、通风</w:t>
      </w:r>
      <w:r>
        <w:rPr>
          <w:rFonts w:hint="eastAsia" w:ascii="宋体" w:hAnsi="宋体" w:eastAsia="宋体" w:cs="宋体"/>
          <w:b w:val="0"/>
          <w:bCs/>
          <w:sz w:val="24"/>
          <w:szCs w:val="24"/>
          <w:lang w:val="en-US" w:eastAsia="zh-CN"/>
        </w:rPr>
        <w:t>柜</w:t>
      </w:r>
      <w:r>
        <w:rPr>
          <w:rFonts w:hint="eastAsia" w:ascii="宋体" w:hAnsi="宋体" w:eastAsia="宋体" w:cs="宋体"/>
          <w:b w:val="0"/>
          <w:bCs/>
          <w:sz w:val="24"/>
          <w:szCs w:val="24"/>
          <w:lang w:val="en-GB"/>
        </w:rPr>
        <w:t>控制器技术要求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3.1采用5寸24位真彩触摸屏；</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3.2通讯状态显示功能；</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3.3显示当前系统开启设备数量功能；</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3.4显示风机运行状态；</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3.5操控视窗升降功能；</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3.6数据上传功能；</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3.7熄屏功能，在通风柜不操作的状态下，持续一段时间后自动熄灭屏幕，再次触摸屏幕任意位置屏幕点亮。</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4、文丘里阀技术要求</w:t>
      </w:r>
    </w:p>
    <w:p>
      <w:pPr>
        <w:spacing w:line="360" w:lineRule="auto"/>
        <w:ind w:firstLine="480" w:firstLineChars="200"/>
        <w:rPr>
          <w:rFonts w:hint="default" w:ascii="宋体" w:hAnsi="宋体" w:eastAsia="宋体" w:cs="宋体"/>
          <w:b w:val="0"/>
          <w:bCs/>
          <w:sz w:val="24"/>
          <w:szCs w:val="24"/>
        </w:rPr>
      </w:pPr>
      <w:r>
        <w:rPr>
          <w:rFonts w:hint="eastAsia" w:ascii="宋体" w:hAnsi="宋体" w:eastAsia="宋体" w:cs="宋体"/>
          <w:b w:val="0"/>
          <w:bCs/>
          <w:sz w:val="24"/>
          <w:szCs w:val="24"/>
          <w:lang w:val="en-GB"/>
        </w:rPr>
        <w:t>4.1执行器品牌：瑞士Belimo、德国Siemens、德国Gruner</w:t>
      </w:r>
      <w:r>
        <w:rPr>
          <w:rFonts w:hint="eastAsia" w:ascii="宋体" w:hAnsi="宋体" w:eastAsia="宋体" w:cs="宋体"/>
          <w:b w:val="0"/>
          <w:bCs/>
          <w:sz w:val="24"/>
          <w:szCs w:val="24"/>
          <w:lang w:val="en-US" w:eastAsia="zh-CN"/>
        </w:rPr>
        <w:t>或同等规格产品</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4.2阀体材质：ABS材质，具有良好的防腐性，可以抵御</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腐蚀性气体腐蚀；</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4.3管道压差范围在150Pa到750Pa之间具备压力无关特性，免调试；</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4.4风量控制精度：&lt;±2%；</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4.5响应速度：调节时间＜1s；</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4.6阀门驱动方式：电动；</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4.7调节功能：风量调节：0-1500m³/h（风阀可完全关闭，调节风量到零）；</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5、变风量阀技术要求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5.1执行器品牌：瑞士Belimo、德国Siemens、德国Gruner</w:t>
      </w:r>
      <w:r>
        <w:rPr>
          <w:rFonts w:hint="eastAsia" w:ascii="宋体" w:hAnsi="宋体" w:eastAsia="宋体" w:cs="宋体"/>
          <w:b w:val="0"/>
          <w:bCs/>
          <w:sz w:val="24"/>
          <w:szCs w:val="24"/>
          <w:lang w:val="en-US" w:eastAsia="zh-CN"/>
        </w:rPr>
        <w:t>或同等规格产品</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5.2</w:t>
      </w:r>
      <w:r>
        <w:rPr>
          <w:rFonts w:hint="eastAsia" w:ascii="宋体" w:hAnsi="宋体" w:eastAsia="宋体" w:cs="宋体"/>
          <w:b w:val="0"/>
          <w:bCs/>
          <w:sz w:val="24"/>
          <w:szCs w:val="24"/>
          <w:lang w:val="en-US" w:eastAsia="zh-CN"/>
        </w:rPr>
        <w:t>阀体材质</w:t>
      </w:r>
      <w:r>
        <w:rPr>
          <w:rFonts w:hint="eastAsia" w:ascii="宋体" w:hAnsi="宋体" w:eastAsia="宋体" w:cs="宋体"/>
          <w:b w:val="0"/>
          <w:bCs/>
          <w:sz w:val="24"/>
          <w:szCs w:val="24"/>
          <w:lang w:val="en-GB"/>
        </w:rPr>
        <w:t>：ABS材质</w:t>
      </w:r>
      <w:r>
        <w:rPr>
          <w:rFonts w:hint="eastAsia" w:ascii="宋体" w:hAnsi="宋体" w:eastAsia="宋体" w:cs="宋体"/>
          <w:b w:val="0"/>
          <w:bCs/>
          <w:sz w:val="24"/>
          <w:szCs w:val="24"/>
          <w:lang w:val="en-GB" w:eastAsia="zh-CN"/>
        </w:rPr>
        <w:t>；</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5.3功能：接收通风柜监视器发出的指令，调节阀体开度，保证精准的排风量；</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5.4具有良好的防腐性，可以抵御</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腐蚀性气体腐蚀；</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5.5变风量响应速度：调节时间&lt;2.5s；</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5.6阀门驱动方式：电动；</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5.7反馈信号：提供实时反馈信号；</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5.8安装位置：环境排风设备上方排风管道上。</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6、管道压差传感器技术要求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6.1品牌：美国Dwyer、德国Siemens、美国Honeywell</w:t>
      </w:r>
      <w:r>
        <w:rPr>
          <w:rFonts w:hint="eastAsia" w:ascii="宋体" w:hAnsi="宋体" w:eastAsia="宋体" w:cs="宋体"/>
          <w:b w:val="0"/>
          <w:bCs/>
          <w:sz w:val="24"/>
          <w:szCs w:val="24"/>
          <w:lang w:val="en-US" w:eastAsia="zh-CN"/>
        </w:rPr>
        <w:t>或同等规格产品</w:t>
      </w:r>
      <w:r>
        <w:rPr>
          <w:rFonts w:hint="eastAsia" w:ascii="宋体" w:hAnsi="宋体" w:eastAsia="宋体" w:cs="宋体"/>
          <w:b w:val="0"/>
          <w:bCs/>
          <w:sz w:val="24"/>
          <w:szCs w:val="24"/>
          <w:lang w:val="en-GB"/>
        </w:rPr>
        <w:t>（需</w:t>
      </w:r>
      <w:r>
        <w:rPr>
          <w:rFonts w:hint="eastAsia" w:ascii="宋体" w:hAnsi="宋体" w:eastAsia="宋体" w:cs="宋体"/>
          <w:b w:val="0"/>
          <w:bCs/>
          <w:sz w:val="24"/>
          <w:szCs w:val="24"/>
          <w:lang w:val="en-US" w:eastAsia="zh-CN"/>
        </w:rPr>
        <w:t>提供</w:t>
      </w:r>
      <w:r>
        <w:rPr>
          <w:rFonts w:hint="eastAsia" w:ascii="宋体" w:hAnsi="宋体" w:eastAsia="宋体" w:cs="宋体"/>
          <w:b w:val="0"/>
          <w:bCs/>
          <w:sz w:val="24"/>
          <w:szCs w:val="24"/>
          <w:lang w:val="en-GB"/>
        </w:rPr>
        <w:t>授权证书）</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6.2介质：空气，兼容性气体；</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6.3稳定性: ±1%F.S./每年；</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6.4温度范围: -18-66℃；</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6.5压力范围：最大工作压力1 psi</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GB"/>
        </w:rPr>
        <w:t>持续冲击压力：10 psi；</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6.6防护：NEMA 4X(IP66)；</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6.7安装：垂直方向安装。</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7、排风风机技术要求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排风风机采用玻璃钢离心风机，外壳及叶轮材质：FRP耐酸碱VinylEster(乙烯基脂树脂+无碱玻璃纤维)制作，机壳连接螺栓采用与废气无接触外接式固定，风机采用双底座减震处理措施。参数满足如下要求，其他技术参数参见施工图纸。</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7.1.1风机叶轮为悬臂闭式后倾离心式结构；</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7.1.2轴封：采用填料（机油毡）填充式轴封；</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7.1.3传动方式：皮带传动或直联式传动；</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7.1.4外壳及叶轮材质：FRP耐酸碱VinylEster(乙烯基脂树脂+无碱玻璃纤维)制作，</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7.1.5风机支架采用机架材质：钢材焊接经过抛丸除锈后喷户外防腐粉经过208度高温烤漆制作，实现5年以上表面不生锈。</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7.1.6轴心材质：45#钢后防腐密封处理；</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7.1.7所有紧固件或螺丝与废气分离防止腐蚀，外部裸漏部分需采用帽套结构；</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7.1.8皮带：优质高张力型皮带，品牌参考：三星或国产同等质量</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GB"/>
        </w:rPr>
        <w:t>使用寿命一万小时以上（</w:t>
      </w:r>
      <w:r>
        <w:rPr>
          <w:rFonts w:hint="eastAsia" w:ascii="宋体" w:hAnsi="宋体" w:eastAsia="宋体" w:cs="宋体"/>
          <w:b w:val="0"/>
          <w:bCs/>
          <w:sz w:val="24"/>
          <w:szCs w:val="24"/>
          <w:lang w:val="en-US" w:eastAsia="zh-CN"/>
        </w:rPr>
        <w:t>若选用</w:t>
      </w:r>
      <w:r>
        <w:rPr>
          <w:rFonts w:hint="eastAsia" w:ascii="宋体" w:hAnsi="宋体" w:eastAsia="宋体" w:cs="宋体"/>
          <w:b w:val="0"/>
          <w:bCs/>
          <w:sz w:val="24"/>
          <w:szCs w:val="24"/>
          <w:lang w:val="en-GB"/>
        </w:rPr>
        <w:t>直联式风机</w:t>
      </w:r>
      <w:r>
        <w:rPr>
          <w:rFonts w:hint="eastAsia" w:ascii="宋体" w:hAnsi="宋体" w:eastAsia="宋体" w:cs="宋体"/>
          <w:b w:val="0"/>
          <w:bCs/>
          <w:sz w:val="24"/>
          <w:szCs w:val="24"/>
          <w:lang w:val="en-US" w:eastAsia="zh-CN"/>
        </w:rPr>
        <w:t>则</w:t>
      </w:r>
      <w:r>
        <w:rPr>
          <w:rFonts w:hint="eastAsia" w:ascii="宋体" w:hAnsi="宋体" w:eastAsia="宋体" w:cs="宋体"/>
          <w:b w:val="0"/>
          <w:bCs/>
          <w:sz w:val="24"/>
          <w:szCs w:val="24"/>
          <w:lang w:val="en-GB"/>
        </w:rPr>
        <w:t>无</w:t>
      </w:r>
      <w:r>
        <w:rPr>
          <w:rFonts w:hint="eastAsia" w:ascii="宋体" w:hAnsi="宋体" w:eastAsia="宋体" w:cs="宋体"/>
          <w:b w:val="0"/>
          <w:bCs/>
          <w:sz w:val="24"/>
          <w:szCs w:val="24"/>
          <w:lang w:val="en-US" w:eastAsia="zh-CN"/>
        </w:rPr>
        <w:t>需</w:t>
      </w:r>
      <w:r>
        <w:rPr>
          <w:rFonts w:hint="eastAsia" w:ascii="宋体" w:hAnsi="宋体" w:eastAsia="宋体" w:cs="宋体"/>
          <w:b w:val="0"/>
          <w:bCs/>
          <w:sz w:val="24"/>
          <w:szCs w:val="24"/>
          <w:lang w:val="en-GB"/>
        </w:rPr>
        <w:t>此配件）</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7.1.9皮带轮：美式含锥套免敲击拆装式（</w:t>
      </w:r>
      <w:r>
        <w:rPr>
          <w:rFonts w:hint="eastAsia" w:ascii="宋体" w:hAnsi="宋体" w:eastAsia="宋体" w:cs="宋体"/>
          <w:b w:val="0"/>
          <w:bCs/>
          <w:sz w:val="24"/>
          <w:szCs w:val="24"/>
          <w:lang w:val="en-US" w:eastAsia="zh-CN"/>
        </w:rPr>
        <w:t>若选用</w:t>
      </w:r>
      <w:r>
        <w:rPr>
          <w:rFonts w:hint="eastAsia" w:ascii="宋体" w:hAnsi="宋体" w:eastAsia="宋体" w:cs="宋体"/>
          <w:b w:val="0"/>
          <w:bCs/>
          <w:sz w:val="24"/>
          <w:szCs w:val="24"/>
          <w:lang w:val="en-GB"/>
        </w:rPr>
        <w:t>直联式风机</w:t>
      </w:r>
      <w:r>
        <w:rPr>
          <w:rFonts w:hint="eastAsia" w:ascii="宋体" w:hAnsi="宋体" w:eastAsia="宋体" w:cs="宋体"/>
          <w:b w:val="0"/>
          <w:bCs/>
          <w:sz w:val="24"/>
          <w:szCs w:val="24"/>
          <w:lang w:val="en-US" w:eastAsia="zh-CN"/>
        </w:rPr>
        <w:t>则</w:t>
      </w:r>
      <w:r>
        <w:rPr>
          <w:rFonts w:hint="eastAsia" w:ascii="宋体" w:hAnsi="宋体" w:eastAsia="宋体" w:cs="宋体"/>
          <w:b w:val="0"/>
          <w:bCs/>
          <w:sz w:val="24"/>
          <w:szCs w:val="24"/>
          <w:lang w:val="en-GB"/>
        </w:rPr>
        <w:t>无</w:t>
      </w:r>
      <w:r>
        <w:rPr>
          <w:rFonts w:hint="eastAsia" w:ascii="宋体" w:hAnsi="宋体" w:eastAsia="宋体" w:cs="宋体"/>
          <w:b w:val="0"/>
          <w:bCs/>
          <w:sz w:val="24"/>
          <w:szCs w:val="24"/>
          <w:lang w:val="en-US" w:eastAsia="zh-CN"/>
        </w:rPr>
        <w:t>需</w:t>
      </w:r>
      <w:r>
        <w:rPr>
          <w:rFonts w:hint="eastAsia" w:ascii="宋体" w:hAnsi="宋体" w:eastAsia="宋体" w:cs="宋体"/>
          <w:b w:val="0"/>
          <w:bCs/>
          <w:sz w:val="24"/>
          <w:szCs w:val="24"/>
          <w:lang w:val="en-GB"/>
        </w:rPr>
        <w:t>此配件）</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7.1.10传动箱轴承选用参考：NSK、SKF</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GB"/>
        </w:rPr>
        <w:t>人本轴承</w:t>
      </w:r>
      <w:r>
        <w:rPr>
          <w:rFonts w:hint="eastAsia" w:ascii="宋体" w:hAnsi="宋体" w:eastAsia="宋体" w:cs="宋体"/>
          <w:b w:val="0"/>
          <w:bCs/>
          <w:sz w:val="24"/>
          <w:szCs w:val="24"/>
          <w:lang w:val="en-US" w:eastAsia="zh-CN"/>
        </w:rPr>
        <w:t>或同等规格产片</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GB"/>
        </w:rPr>
        <w:t>使用寿命十万小时以上（</w:t>
      </w:r>
      <w:r>
        <w:rPr>
          <w:rFonts w:hint="eastAsia" w:ascii="宋体" w:hAnsi="宋体" w:eastAsia="宋体" w:cs="宋体"/>
          <w:b w:val="0"/>
          <w:bCs/>
          <w:sz w:val="24"/>
          <w:szCs w:val="24"/>
          <w:lang w:val="en-US" w:eastAsia="zh-CN"/>
        </w:rPr>
        <w:t>若选用</w:t>
      </w:r>
      <w:r>
        <w:rPr>
          <w:rFonts w:hint="eastAsia" w:ascii="宋体" w:hAnsi="宋体" w:eastAsia="宋体" w:cs="宋体"/>
          <w:b w:val="0"/>
          <w:bCs/>
          <w:sz w:val="24"/>
          <w:szCs w:val="24"/>
          <w:lang w:val="en-GB"/>
        </w:rPr>
        <w:t>直联式风机</w:t>
      </w:r>
      <w:r>
        <w:rPr>
          <w:rFonts w:hint="eastAsia" w:ascii="宋体" w:hAnsi="宋体" w:eastAsia="宋体" w:cs="宋体"/>
          <w:b w:val="0"/>
          <w:bCs/>
          <w:sz w:val="24"/>
          <w:szCs w:val="24"/>
          <w:lang w:val="en-US" w:eastAsia="zh-CN"/>
        </w:rPr>
        <w:t>则</w:t>
      </w:r>
      <w:r>
        <w:rPr>
          <w:rFonts w:hint="eastAsia" w:ascii="宋体" w:hAnsi="宋体" w:eastAsia="宋体" w:cs="宋体"/>
          <w:b w:val="0"/>
          <w:bCs/>
          <w:sz w:val="24"/>
          <w:szCs w:val="24"/>
          <w:lang w:val="en-GB"/>
        </w:rPr>
        <w:t>无</w:t>
      </w:r>
      <w:r>
        <w:rPr>
          <w:rFonts w:hint="eastAsia" w:ascii="宋体" w:hAnsi="宋体" w:eastAsia="宋体" w:cs="宋体"/>
          <w:b w:val="0"/>
          <w:bCs/>
          <w:sz w:val="24"/>
          <w:szCs w:val="24"/>
          <w:lang w:val="en-US" w:eastAsia="zh-CN"/>
        </w:rPr>
        <w:t>需</w:t>
      </w:r>
      <w:r>
        <w:rPr>
          <w:rFonts w:hint="eastAsia" w:ascii="宋体" w:hAnsi="宋体" w:eastAsia="宋体" w:cs="宋体"/>
          <w:b w:val="0"/>
          <w:bCs/>
          <w:sz w:val="24"/>
          <w:szCs w:val="24"/>
          <w:lang w:val="en-GB"/>
        </w:rPr>
        <w:t>此配件）</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7.1.11轴承座：机油冷却式</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GB"/>
        </w:rPr>
        <w:t>可选用油品标号“15#-40#”（</w:t>
      </w:r>
      <w:r>
        <w:rPr>
          <w:rFonts w:hint="eastAsia" w:ascii="宋体" w:hAnsi="宋体" w:eastAsia="宋体" w:cs="宋体"/>
          <w:b w:val="0"/>
          <w:bCs/>
          <w:sz w:val="24"/>
          <w:szCs w:val="24"/>
          <w:lang w:val="en-US" w:eastAsia="zh-CN"/>
        </w:rPr>
        <w:t>若选用</w:t>
      </w:r>
      <w:r>
        <w:rPr>
          <w:rFonts w:hint="eastAsia" w:ascii="宋体" w:hAnsi="宋体" w:eastAsia="宋体" w:cs="宋体"/>
          <w:b w:val="0"/>
          <w:bCs/>
          <w:sz w:val="24"/>
          <w:szCs w:val="24"/>
          <w:lang w:val="en-GB"/>
        </w:rPr>
        <w:t>直联式风机</w:t>
      </w:r>
      <w:r>
        <w:rPr>
          <w:rFonts w:hint="eastAsia" w:ascii="宋体" w:hAnsi="宋体" w:eastAsia="宋体" w:cs="宋体"/>
          <w:b w:val="0"/>
          <w:bCs/>
          <w:sz w:val="24"/>
          <w:szCs w:val="24"/>
          <w:lang w:val="en-US" w:eastAsia="zh-CN"/>
        </w:rPr>
        <w:t>则</w:t>
      </w:r>
      <w:r>
        <w:rPr>
          <w:rFonts w:hint="eastAsia" w:ascii="宋体" w:hAnsi="宋体" w:eastAsia="宋体" w:cs="宋体"/>
          <w:b w:val="0"/>
          <w:bCs/>
          <w:sz w:val="24"/>
          <w:szCs w:val="24"/>
          <w:lang w:val="en-GB"/>
        </w:rPr>
        <w:t>无</w:t>
      </w:r>
      <w:r>
        <w:rPr>
          <w:rFonts w:hint="eastAsia" w:ascii="宋体" w:hAnsi="宋体" w:eastAsia="宋体" w:cs="宋体"/>
          <w:b w:val="0"/>
          <w:bCs/>
          <w:sz w:val="24"/>
          <w:szCs w:val="24"/>
          <w:lang w:val="en-US" w:eastAsia="zh-CN"/>
        </w:rPr>
        <w:t>需</w:t>
      </w:r>
      <w:r>
        <w:rPr>
          <w:rFonts w:hint="eastAsia" w:ascii="宋体" w:hAnsi="宋体" w:eastAsia="宋体" w:cs="宋体"/>
          <w:b w:val="0"/>
          <w:bCs/>
          <w:sz w:val="24"/>
          <w:szCs w:val="24"/>
          <w:lang w:val="en-GB"/>
        </w:rPr>
        <w:t xml:space="preserve">此配件）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7.1.12配套电机：电机功率≥7.5kW，必须选用一级能效。电机功率＜7.5kW，优先选用一级能效。杜绝选用三级及以下能效</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GB"/>
        </w:rPr>
        <w:t>IP55、F级绝缘、B级温升考核；</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7.1.13风机底部配置减振台及排水清理装置（PVC排水孔）；风机的转子要便于检查清理；</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7.2风机性能要求：必须提供第三方国家认可</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检测报告（报告需要带CMA及CNAS认证标志）</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检测要求如下：</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检测依据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GB/T 1236-2017 《工业通风机 用标准化风道性能试验》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GB/T 2888-2008 《风机和罗茨鼓风机噪声测量方法》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JB/T 8689-2014 《通风机振动检测及其限值》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JB/T 10563-2006 《一般用途离心通风机技术条件》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JB/T 6445-2017 《通风机叶轮超速试验》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JB/T 9101-2014 《通风机转子平衡》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判定依据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JB/T 8689-2014 《通风机振动检测及其限值》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JB/T 10563-2006 《一般用途离心通风机技术条件》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JB/T 8690-2014 《通风机 噪声限值》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JB/T 6445-2017 《通风机叶轮超速试验》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JB/T 9101-2014 《通风机转子平衡》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7.2.1按GB/T 1236-2017 《工业通风机 用标准化风道性能试验》在规定测试下所对应的流量全压偏差为±5%；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7.2.2按JB/T 8689-2014 规定应进行30min机械运转试验 转动件应无擦碰等异常现象振动速度有效值mm/s≤4.6；</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7.2.3按JB/T 9101-2014 《通风机转子平衡》规定进行动平衡品质等级 G ≤2.5级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7.2.4按GB/T 2888-2008 规定测试噪声(比 A 声级)dB≤27；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7.2.5按JB/T 6445-2017《通风机叶轮超速试验》规定进行叶轮超速试验：</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7.2.5.1叶轮在规定最高工作转速的150%转速下运转，持续时间不少于2min，试验结果应符合以下规定：a)焊缝、轮盘、轮盖、轮毂等不得有裂纹，铆钉不得有松动或有裂纹；b)叶轮直径的尺寸变形量≤ 0.5/1000; c) 叶轮外径处叶片安装角不得超过图样的规定；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 xml:space="preserve">7.2.5.2符合以上要求后，叶轮在规定最高工作转速的150%转速下运行，持续时间不少于24h，试验结果应符合焊缝、轮盘、轮盖、轮毂等不得有裂纹，铆钉不得有松动或有裂纹；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7.2.6外观质量风机表面光滑，不得有气泡、裂缝及厚度不均缺陷，涂层均匀、无剥落、划伤 等缺陷，轴承部位不得漏油，焊接处应平整、无气孔、裂纹等缺陷，风机内外表面必须清洁，产品铭牌安装平整、牢固；</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7.2.7按JB/T 10563-2006《一般用途离心通风机技术条件》规定装配要求：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7.2.7.2叶轮叶片应均匀分布，任意两相邻叶片间的最大弦长偏差应不大于3mm</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7.2.7.2叶轮和机壳的径向间隙应均匀。</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7.3产品认证要求及制造商具备资质要求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7.3.1通过AMCA认证，中国CQC节能产品认证、产品通过中国环境标志认证；具备依据GB19761-2020的标准达到一级能效检验报告（带CMA及CNAS认证标志）并国家能效网备案附上能效标识查验；</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7.3.2具备安全生产许可证；ISO9001:2015质量管理体系认证证书；ISO14001:2015环境管理体系认证证书；ISO45001:2018职业健康安全管理体系认证证书；</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7.3.3风机依据JBT/T9536-2013通过防腐等级WFI认证，提供第三方检测报告及防腐等级认证证书；</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7.3.4气体成分易燃易爆的需提供整机防爆检测报告依GB/T3836.1-2021,GB/T3836.2-2021.符合CNCA-C23-01:2019《强制性产品认证实施规则 防爆电气》和CNEX-C2301:2019《强制性产品认证实施规则 防爆电气》的要求，防爆等级为EX db IIC T4 Gb并取得CCC中国国家强制性产品认证证书.（单独提供防爆合格证或者电机防爆证明无效）；</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7.3.5风机的机械安全装置护罩符合国际标准化ISO 12499：1999规定各项安全要求（采用国际标准产品）；风机产品通过CE认证，并提供认证证书；</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7.3.6制造商提供国家工信和信息化部售后服务五星级能力评价证书，参照GB/T27922-2011《商品售后服务评价体系》及相关规定要求。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8、变频器技术要求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8.1品牌：ABB、西门子、艾默生</w:t>
      </w:r>
      <w:r>
        <w:rPr>
          <w:rFonts w:hint="eastAsia" w:ascii="宋体" w:hAnsi="宋体" w:eastAsia="宋体" w:cs="宋体"/>
          <w:b w:val="0"/>
          <w:bCs/>
          <w:sz w:val="24"/>
          <w:szCs w:val="24"/>
          <w:lang w:val="en-US" w:eastAsia="zh-CN"/>
        </w:rPr>
        <w:t>或同等规格产品</w:t>
      </w:r>
      <w:r>
        <w:rPr>
          <w:rFonts w:hint="eastAsia" w:ascii="宋体" w:hAnsi="宋体" w:eastAsia="宋体" w:cs="宋体"/>
          <w:b w:val="0"/>
          <w:bCs/>
          <w:sz w:val="24"/>
          <w:szCs w:val="24"/>
          <w:lang w:val="en-GB"/>
        </w:rPr>
        <w:t>（需</w:t>
      </w:r>
      <w:r>
        <w:rPr>
          <w:rFonts w:hint="eastAsia" w:ascii="宋体" w:hAnsi="宋体" w:eastAsia="宋体" w:cs="宋体"/>
          <w:b w:val="0"/>
          <w:bCs/>
          <w:sz w:val="24"/>
          <w:szCs w:val="24"/>
          <w:lang w:val="en-US" w:eastAsia="zh-CN"/>
        </w:rPr>
        <w:t>提供相应</w:t>
      </w:r>
      <w:r>
        <w:rPr>
          <w:rFonts w:hint="eastAsia" w:ascii="宋体" w:hAnsi="宋体" w:eastAsia="宋体" w:cs="宋体"/>
          <w:b w:val="0"/>
          <w:bCs/>
          <w:sz w:val="24"/>
          <w:szCs w:val="24"/>
          <w:lang w:val="en-GB"/>
        </w:rPr>
        <w:t>授权证书）</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8.2电源：三相380-480V±10%；频率：48-63Hz；功率因数：约0.98；输入信号</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GB"/>
        </w:rPr>
        <w:t>电压0～10 V或电流0～20 mA；需配有操作显示面板，带滤波器。</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9、防火阀技术要求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9.1功能：火灾发生时，当气流温度达到70℃时，阀门迅速关闭。</w:t>
      </w:r>
    </w:p>
    <w:p>
      <w:pPr>
        <w:spacing w:line="360" w:lineRule="auto"/>
        <w:ind w:firstLine="480" w:firstLineChars="200"/>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GB"/>
        </w:rPr>
        <w:t>9.2安装位置：</w:t>
      </w:r>
      <w:r>
        <w:rPr>
          <w:rFonts w:hint="eastAsia" w:ascii="宋体" w:hAnsi="宋体" w:eastAsia="宋体" w:cs="宋体"/>
          <w:b w:val="0"/>
          <w:bCs/>
          <w:sz w:val="24"/>
          <w:szCs w:val="24"/>
          <w:lang w:val="en-US" w:eastAsia="zh-CN"/>
        </w:rPr>
        <w:t>区域内各试验间支路管道汇总点后</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10、控制柜技术要求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10.1柜体用冷轧钢板制作，柜体表面折角处不能有皱纹、裂纹、毛刺、焊接等痕迹，表面平整度在1平方米面积内凹凸不能超过1mm。门与门框的缝隙不超过1.5m，符合低压控制柜有关制造标准；</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10.2开关元件、器件：开关元件、器件选用正泰或德力西产品，指示灯、按钮的颜色符合GB/T4025要求；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10.3接线端子箱及模块箱需预留不少于30%的安装空间，便于以后扩展；</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10.4柜体按照标准低压控制柜尺寸加工，集中安放在</w:t>
      </w:r>
      <w:r>
        <w:rPr>
          <w:rFonts w:hint="eastAsia" w:ascii="宋体" w:hAnsi="宋体" w:eastAsia="宋体" w:cs="宋体"/>
          <w:b w:val="0"/>
          <w:bCs/>
          <w:sz w:val="24"/>
          <w:szCs w:val="24"/>
          <w:lang w:val="en-US" w:eastAsia="zh-CN"/>
        </w:rPr>
        <w:t>招标方</w:t>
      </w:r>
      <w:r>
        <w:rPr>
          <w:rFonts w:hint="eastAsia" w:ascii="宋体" w:hAnsi="宋体" w:eastAsia="宋体" w:cs="宋体"/>
          <w:b w:val="0"/>
          <w:bCs/>
          <w:sz w:val="24"/>
          <w:szCs w:val="24"/>
          <w:lang w:val="en-GB"/>
        </w:rPr>
        <w:t>指定的配电室内；</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10.5防护等级IP54。</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11、风阀电控箱技术要求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11.1额定工作电压：交流220V；</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11.2额定频率：50HZ；</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11.3蝶阀控制接口不少于1路；</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11.4</w:t>
      </w:r>
      <w:r>
        <w:rPr>
          <w:rFonts w:hint="eastAsia" w:ascii="宋体" w:hAnsi="宋体" w:eastAsia="宋体" w:cs="宋体"/>
          <w:b w:val="0"/>
          <w:bCs/>
          <w:sz w:val="24"/>
          <w:szCs w:val="24"/>
          <w:lang w:val="en-US" w:eastAsia="zh-CN"/>
        </w:rPr>
        <w:t xml:space="preserve"> </w:t>
      </w:r>
      <w:r>
        <w:rPr>
          <w:rFonts w:hint="eastAsia" w:ascii="宋体" w:hAnsi="宋体" w:eastAsia="宋体" w:cs="宋体"/>
          <w:b w:val="0"/>
          <w:bCs/>
          <w:sz w:val="24"/>
          <w:szCs w:val="24"/>
          <w:lang w:val="en-GB"/>
        </w:rPr>
        <w:t>CAN总线通讯接口不少于2路；</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11.5</w:t>
      </w:r>
      <w:r>
        <w:rPr>
          <w:rFonts w:hint="eastAsia" w:ascii="宋体" w:hAnsi="宋体" w:eastAsia="宋体" w:cs="宋体"/>
          <w:b w:val="0"/>
          <w:bCs/>
          <w:sz w:val="24"/>
          <w:szCs w:val="24"/>
          <w:lang w:val="en-US" w:eastAsia="zh-CN"/>
        </w:rPr>
        <w:t xml:space="preserve"> </w:t>
      </w:r>
      <w:r>
        <w:rPr>
          <w:rFonts w:hint="eastAsia" w:ascii="宋体" w:hAnsi="宋体" w:eastAsia="宋体" w:cs="宋体"/>
          <w:b w:val="0"/>
          <w:bCs/>
          <w:sz w:val="24"/>
          <w:szCs w:val="24"/>
          <w:lang w:val="en-GB"/>
        </w:rPr>
        <w:t>MODBUS通讯接口不少于1路；</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11.6</w:t>
      </w:r>
      <w:r>
        <w:rPr>
          <w:rFonts w:hint="eastAsia" w:ascii="宋体" w:hAnsi="宋体" w:eastAsia="宋体" w:cs="宋体"/>
          <w:b w:val="0"/>
          <w:bCs/>
          <w:sz w:val="24"/>
          <w:szCs w:val="24"/>
          <w:lang w:val="en-US" w:eastAsia="zh-CN"/>
        </w:rPr>
        <w:t xml:space="preserve"> </w:t>
      </w:r>
      <w:r>
        <w:rPr>
          <w:rFonts w:hint="eastAsia" w:ascii="宋体" w:hAnsi="宋体" w:eastAsia="宋体" w:cs="宋体"/>
          <w:b w:val="0"/>
          <w:bCs/>
          <w:sz w:val="24"/>
          <w:szCs w:val="24"/>
          <w:lang w:val="en-GB"/>
        </w:rPr>
        <w:t>0-20mA输入接口不少于2路；</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11.7</w:t>
      </w:r>
      <w:r>
        <w:rPr>
          <w:rFonts w:hint="eastAsia" w:ascii="宋体" w:hAnsi="宋体" w:eastAsia="宋体" w:cs="宋体"/>
          <w:b w:val="0"/>
          <w:bCs/>
          <w:sz w:val="24"/>
          <w:szCs w:val="24"/>
          <w:lang w:val="en-US" w:eastAsia="zh-CN"/>
        </w:rPr>
        <w:t xml:space="preserve"> </w:t>
      </w:r>
      <w:r>
        <w:rPr>
          <w:rFonts w:hint="eastAsia" w:ascii="宋体" w:hAnsi="宋体" w:eastAsia="宋体" w:cs="宋体"/>
          <w:b w:val="0"/>
          <w:bCs/>
          <w:sz w:val="24"/>
          <w:szCs w:val="24"/>
          <w:lang w:val="en-GB"/>
        </w:rPr>
        <w:t>IO输入接口不少于6路；</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11.8干接点输出接口不少于4路；</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11.9交流220V输出接口不少于2路；</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11.10直流5V低压输出接口不少于1路；</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12、新风机组技术要求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12.1性能要求：机组以功能段为组合单元，混合段、初效过滤段、加热/制冷段、风机段等多种功能段。</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12.2箱体框架要求：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12.2.1框架应有足够的强度，以免在运输和运行中产生永久变形。</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12.2.2框架应采用型材喷涂(或其它招标方可接受的材料)制成。</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12.2.3框架应采用标准模数化尺寸。</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12.2.4各功能段组装后，框架内表面(非镀锌框架应先涂一层高级底漆)采用阻燃型或非燃型保温材料保温，其最大导热系数应小于0.035W/m·℃。</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12.2.5非镀锌框架外表面经磷化处理后，喷涂环氧、聚酯粉末涂料，经喷涂加工后应具有良好的耐腐、耐热、耐盐雾性能。</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12.2.6各功能段框架采用具有衬垫的螺栓连接。所有衬垫和螺栓等连接件在出厂前应做镀锌处理。</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12.2.7框架上应有起吊吊耳或其它可行的起吊措施。</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12.2.8框架构件的焊接均应在构件内部。</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12.3箱体面板要求：</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12.3.1箱体采用迷宫式结构。将普通空调箱的框架与保温面板融为一体，通过50kg/m³的高压聚氨酯发泡形成整体，面板与面板之间以榫头结构连接，内部设有暗藏方钢内框架，使箱体在组装后的每个拼接处都形成内外两道加强；</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12.3.2 在双层面板的中间夹以阻燃型或非燃型保温材料，保温材料最大导热系数应小于0.035W/m·℃。保温层与面板应结合牢固、平整、无间隙。经保温处理后应保证外壁不产生结露现象。外板为彩钢板，内面板可根据产品用途不同采用彩钢板、不锈钢板或其他材料。</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12.3.3在机组最大静压下，面板应能持久保持平整、不变形。</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12.3.4底层面板的强度应满足检修人员进入而不破坏保温材料。</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12.3.5操作侧的全部面板均应可拆卸，以便于检修。</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12.3.6机组的就地操作开关、显示仪表都在室外机的电控箱上。</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12.4压缩冷凝段</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12.4.1压缩机：压缩机应采用全封闭涡旋式制冷压缩机或半封闭喷油螺杆式制冷压缩机，压缩机应能进行灵活、可靠的负荷调节，其制冷量的调节范围为0%～100%。</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12.4.2压缩机润滑油系统</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12.4.2.1压缩机应配置完整的工厂安装强制润滑油系统，以便在机组启动和运行及停止期间对所有运转部件润滑及喷油密封。</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12.4.2.2润滑油系统应包括冷媒压差油泵、油压调节器、油冷却器、油槽加热器、油槽、油过滤器、高效油分离器、油管及其它控制装置。</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12.4.2.3 应提供与压缩机相适应的油槽，油槽包括油位视镜、温度测试孔、温度计、注油阀及排油装置。</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12.4.2.4 油槽内应设有恒温控制的油加热器。油加热器应足以维持压缩机停止期间一定的油温及启动时间油温不低于25℃。</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12.4.2.5 应提供可更换的油过滤器，并提供隔离阀，以便在不损失油及污染润滑油系统及制冷系统的前提下更换过滤器。</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12.4.2.6 投标方应提供油泵启动器，油加热温度控制器及开关，润滑油系统必要的管路附件以及所有的控制和动力回路接线。</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12.4.2.7润滑油系统应提供一定的油压，以便在压缩机启动前及一旦失电的情况下足以保护所有轴承。</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12.4.3 风冷冷凝器</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12.4.3.1冷凝器包括冷凝器盘管、冷凝风机、风机电动机及其附件。</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12.4.3.2 冷凝盘管应采用铝（铜）翅片机械缠绕于无缝铜管上。盘管结构应符合投标方国家标准。</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12.4.3.3 冷凝器包括两个既可独立又可同时使用的制冷剂回路，包括排气管路及供液管路。其中供液管路包括带截止阀的制冷剂充注口、制冷剂含水指示器以及能在最高压力下工作的热力膨胀阀、电磁阀和筒型干燥过滤器。</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12.4.3.4冷凝器盘管安装完毕后应进行气压试验和水压试验，其试验压力分别为1.2MPa和3.0MPa。</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12.4.3.5冷凝器的容量应能容纳制冷剂的全部充注量。</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12.4.3.6冷凝器冷却系统由多台风机组成。并根据室外温度和制冷负荷的变化控制风机停止和运行的台数。</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12.4.3.7冷凝风机应为直接传动垂直安装式轴流风机。风机容量应与机组的制冷量  相对应。</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12.4.4制冷剂管路系统</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12.4.4.1机组应配置由工厂配套安装的机组内部所有部件之间的冷剂管道（包括室内机与室外机之间的管材及其配部件，保温材料等）。</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12.4.4.2每台压缩机应有各自独立的R22制冷剂管路系统。</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12.4.4.3每套制冷剂管路系统应包括但不限于下列部件：</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（1）热力膨胀阀；（2）制冷剂分配器；（3）低压切断开关；（4）高压切断开关</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GB"/>
        </w:rPr>
        <w:t>（5）可拆卸的液体管道干燥器；（6）液体管道观察窗；（7）吸气过热器；</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12.4.4.4系统中所有需维修或可拆卸的部件均采用扩口接头。</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12.4.4.5系统管道连接完成后，经过1.24MPa干燥氮气的耐压试验和R22制冷剂的检漏试验。</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12.5送（回）风段</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12.5.1风机应为离心式、单罩壳、单叶轮、双进风、非过载型风机。</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12.5.2风机叶轮应为后弯型单厚度叶片，风机轴采用实心冷轧钢。风机叶轮、轴需在制造厂内进行静平衡和动平衡试验，并提供试验报告。</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12.5.3风机轴承应为滚珠或滚柱轴承。轴承的最短寿命应为15年。轴承润滑剂应能至少维持12个月运行周期而不需检修。润滑剂和密封的预防性维修时间表应在维修手册内提供。</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12.5.4风机罩壳及框架应采用镀锌钢板制成。</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12.5.5风机的风量、风压应能满足所规定的参数。</w:t>
      </w:r>
      <w:r>
        <w:rPr>
          <w:rFonts w:hint="eastAsia" w:ascii="宋体" w:hAnsi="宋体" w:eastAsia="宋体" w:cs="宋体"/>
          <w:b w:val="0"/>
          <w:bCs/>
          <w:sz w:val="24"/>
          <w:szCs w:val="24"/>
          <w:lang w:val="en-US" w:eastAsia="zh-CN"/>
        </w:rPr>
        <w:t>能效等级要求同前文所述</w:t>
      </w:r>
      <w:r>
        <w:rPr>
          <w:rFonts w:hint="eastAsia" w:ascii="宋体" w:hAnsi="宋体" w:eastAsia="宋体" w:cs="宋体"/>
          <w:b w:val="0"/>
          <w:bCs/>
          <w:sz w:val="24"/>
          <w:szCs w:val="24"/>
          <w:lang w:val="en-GB"/>
        </w:rPr>
        <w:t>，适用范围广，超低噪声轴承无需加油维护，机组可更长久可靠的运行，风机叶轮均经动态、静态平衡校验，风机主要性能均按国家标准测试，风机都通过AMCA认证。</w:t>
      </w:r>
    </w:p>
    <w:p>
      <w:pPr>
        <w:spacing w:line="360" w:lineRule="auto"/>
        <w:ind w:firstLine="480" w:firstLineChars="200"/>
        <w:rPr>
          <w:rFonts w:hint="default" w:ascii="宋体" w:hAnsi="宋体" w:eastAsia="宋体" w:cs="宋体"/>
          <w:b w:val="0"/>
          <w:bCs/>
          <w:sz w:val="24"/>
          <w:szCs w:val="24"/>
        </w:rPr>
      </w:pPr>
      <w:r>
        <w:rPr>
          <w:rFonts w:hint="eastAsia" w:ascii="宋体" w:hAnsi="宋体" w:eastAsia="宋体" w:cs="宋体"/>
          <w:b w:val="0"/>
          <w:bCs/>
          <w:sz w:val="24"/>
          <w:szCs w:val="24"/>
          <w:lang w:val="en-GB"/>
        </w:rPr>
        <w:t>12.5.6风机参考按科禄格、亿利达品牌</w:t>
      </w:r>
      <w:r>
        <w:rPr>
          <w:rFonts w:hint="eastAsia" w:ascii="宋体" w:hAnsi="宋体" w:eastAsia="宋体" w:cs="宋体"/>
          <w:b w:val="0"/>
          <w:bCs/>
          <w:sz w:val="24"/>
          <w:szCs w:val="24"/>
          <w:lang w:val="en-US" w:eastAsia="zh-CN"/>
        </w:rPr>
        <w:t>或同等规格品牌。</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13、管道技术要求</w:t>
      </w:r>
    </w:p>
    <w:p>
      <w:pPr>
        <w:spacing w:line="360" w:lineRule="auto"/>
        <w:ind w:firstLine="480" w:firstLineChars="200"/>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GB"/>
        </w:rPr>
        <w:t>13.1排风风管：材质PP,阻燃等级V2级。</w:t>
      </w:r>
      <w:r>
        <w:rPr>
          <w:rFonts w:hint="eastAsia" w:ascii="宋体" w:hAnsi="宋体" w:eastAsia="宋体" w:cs="宋体"/>
          <w:b w:val="0"/>
          <w:bCs/>
          <w:sz w:val="24"/>
          <w:szCs w:val="24"/>
          <w:lang w:val="en-US" w:eastAsia="zh-CN"/>
        </w:rPr>
        <w:t>阻燃试验室排风管道用镀锌钢板材质。</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13.2</w:t>
      </w:r>
      <w:r>
        <w:rPr>
          <w:rFonts w:hint="eastAsia" w:ascii="宋体" w:hAnsi="宋体" w:eastAsia="宋体" w:cs="宋体"/>
          <w:b w:val="0"/>
          <w:bCs/>
          <w:sz w:val="24"/>
          <w:szCs w:val="24"/>
          <w:lang w:val="en-US" w:eastAsia="zh-CN"/>
        </w:rPr>
        <w:t xml:space="preserve"> </w:t>
      </w:r>
      <w:r>
        <w:rPr>
          <w:rFonts w:hint="eastAsia" w:ascii="宋体" w:hAnsi="宋体" w:eastAsia="宋体" w:cs="宋体"/>
          <w:b w:val="0"/>
          <w:bCs/>
          <w:sz w:val="24"/>
          <w:szCs w:val="24"/>
          <w:lang w:val="en-GB"/>
        </w:rPr>
        <w:t>PP方形风管由PP板材焊接而成，板材厚度根据管道大小而定，宽边大于600的风管需增加支撑，防止管道内负压时变瘪。</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13.3圆形管道采用成型的PP管。</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13.4方管板材厚度高于标准规范要求。</w:t>
      </w:r>
    </w:p>
    <w:p>
      <w:pPr>
        <w:numPr>
          <w:ilvl w:val="0"/>
          <w:numId w:val="13"/>
        </w:num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GB"/>
        </w:rPr>
        <w:t>尾气处理</w:t>
      </w:r>
      <w:r>
        <w:rPr>
          <w:rFonts w:hint="eastAsia" w:ascii="宋体" w:hAnsi="宋体" w:eastAsia="宋体" w:cs="宋体"/>
          <w:b w:val="0"/>
          <w:bCs/>
          <w:sz w:val="24"/>
          <w:szCs w:val="24"/>
          <w:lang w:val="en-US" w:eastAsia="zh-CN"/>
        </w:rPr>
        <w:t>装置要求（活性炭及SDG吸附装置）</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14.1.材质：整体8mmPP（A板）板材质，数控雕刻，折弯碰焊成型。焊缝均匀</w:t>
      </w:r>
      <w:r>
        <w:rPr>
          <w:rFonts w:hint="eastAsia" w:ascii="宋体" w:hAnsi="宋体" w:eastAsia="宋体" w:cs="宋体"/>
          <w:b w:val="0"/>
          <w:bCs/>
          <w:sz w:val="24"/>
          <w:szCs w:val="24"/>
          <w:lang w:val="en-US" w:eastAsia="zh-CN"/>
        </w:rPr>
        <w:t>光滑</w:t>
      </w:r>
      <w:r>
        <w:rPr>
          <w:rFonts w:hint="eastAsia" w:ascii="宋体" w:hAnsi="宋体" w:eastAsia="宋体" w:cs="宋体"/>
          <w:b w:val="0"/>
          <w:bCs/>
          <w:sz w:val="24"/>
          <w:szCs w:val="24"/>
          <w:lang w:val="en-GB"/>
        </w:rPr>
        <w:t>美观，密封防雨。合理设计</w:t>
      </w:r>
      <w:r>
        <w:rPr>
          <w:rFonts w:hint="eastAsia" w:ascii="宋体" w:hAnsi="宋体" w:eastAsia="宋体" w:cs="宋体"/>
          <w:b w:val="0"/>
          <w:bCs/>
          <w:sz w:val="24"/>
          <w:szCs w:val="24"/>
          <w:lang w:val="en-US" w:eastAsia="zh-CN"/>
        </w:rPr>
        <w:t>箱体</w:t>
      </w:r>
      <w:r>
        <w:rPr>
          <w:rFonts w:hint="eastAsia" w:ascii="宋体" w:hAnsi="宋体" w:eastAsia="宋体" w:cs="宋体"/>
          <w:b w:val="0"/>
          <w:bCs/>
          <w:sz w:val="24"/>
          <w:szCs w:val="24"/>
          <w:lang w:val="en-GB"/>
        </w:rPr>
        <w:t>内废气流通方向</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GB"/>
        </w:rPr>
        <w:t>保证废气全部均匀通过活性炭层</w:t>
      </w:r>
      <w:r>
        <w:rPr>
          <w:rFonts w:hint="eastAsia" w:ascii="宋体" w:hAnsi="宋体" w:eastAsia="宋体" w:cs="宋体"/>
          <w:b w:val="0"/>
          <w:bCs/>
          <w:sz w:val="24"/>
          <w:szCs w:val="24"/>
          <w:lang w:val="en-US" w:eastAsia="zh-CN"/>
        </w:rPr>
        <w:t>/干式酸气吸附剂</w:t>
      </w:r>
      <w:r>
        <w:rPr>
          <w:rFonts w:hint="eastAsia" w:ascii="宋体" w:hAnsi="宋体" w:eastAsia="宋体" w:cs="宋体"/>
          <w:b w:val="0"/>
          <w:bCs/>
          <w:sz w:val="24"/>
          <w:szCs w:val="24"/>
          <w:lang w:val="en-GB"/>
        </w:rPr>
        <w:t>，达到设计吸收速率。</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14.2.碳层</w:t>
      </w:r>
      <w:r>
        <w:rPr>
          <w:rFonts w:hint="eastAsia" w:ascii="宋体" w:hAnsi="宋体" w:eastAsia="宋体" w:cs="宋体"/>
          <w:b w:val="0"/>
          <w:bCs/>
          <w:sz w:val="24"/>
          <w:szCs w:val="24"/>
          <w:lang w:val="en-US" w:eastAsia="zh-CN"/>
        </w:rPr>
        <w:t>/干式酸气吸附剂</w:t>
      </w:r>
      <w:r>
        <w:rPr>
          <w:rFonts w:hint="eastAsia" w:ascii="宋体" w:hAnsi="宋体" w:eastAsia="宋体" w:cs="宋体"/>
          <w:b w:val="0"/>
          <w:bCs/>
          <w:sz w:val="24"/>
          <w:szCs w:val="24"/>
          <w:lang w:val="en-GB"/>
        </w:rPr>
        <w:t xml:space="preserve">采用平铺方式，厚度均匀且不会在使用过程中因风吹造成漏气情况。保证吸收率的情况下压损控制在300pa以内。                  </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14.3.结构：双层抽屉式装碳</w:t>
      </w:r>
      <w:r>
        <w:rPr>
          <w:rFonts w:hint="eastAsia" w:ascii="宋体" w:hAnsi="宋体" w:eastAsia="宋体" w:cs="宋体"/>
          <w:b w:val="0"/>
          <w:bCs/>
          <w:sz w:val="24"/>
          <w:szCs w:val="24"/>
          <w:lang w:val="en-US" w:eastAsia="zh-CN"/>
        </w:rPr>
        <w:t>/干式酸气吸附剂</w:t>
      </w:r>
      <w:r>
        <w:rPr>
          <w:rFonts w:hint="eastAsia" w:ascii="宋体" w:hAnsi="宋体" w:eastAsia="宋体" w:cs="宋体"/>
          <w:b w:val="0"/>
          <w:bCs/>
          <w:sz w:val="24"/>
          <w:szCs w:val="24"/>
          <w:lang w:val="en-GB"/>
        </w:rPr>
        <w:t>，U型PP槽做滑轨，承重100kg以上。抽屉设置拉手。箱外抽屉盖板做防雨条，与箱体法兰连接，用PP螺丝固定，便于更换维修。</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GB"/>
        </w:rPr>
        <w:t>14.4.颗粒活性炭</w:t>
      </w:r>
      <w:r>
        <w:rPr>
          <w:rFonts w:hint="eastAsia" w:ascii="宋体" w:hAnsi="宋体" w:eastAsia="宋体" w:cs="宋体"/>
          <w:b w:val="0"/>
          <w:bCs/>
          <w:sz w:val="24"/>
          <w:szCs w:val="24"/>
          <w:lang w:val="en-US" w:eastAsia="zh-CN"/>
        </w:rPr>
        <w:t>/干式酸气吸附剂</w:t>
      </w:r>
      <w:r>
        <w:rPr>
          <w:rFonts w:hint="eastAsia" w:ascii="宋体" w:hAnsi="宋体" w:eastAsia="宋体" w:cs="宋体"/>
          <w:b w:val="0"/>
          <w:bCs/>
          <w:sz w:val="24"/>
          <w:szCs w:val="24"/>
          <w:lang w:val="en-GB"/>
        </w:rPr>
        <w:t>（提供检测报告），每层厚度不少于100mm，用304不锈钢网或pp丝网覆盖防止散乱。进出口变径及中心高度根据管道定制。</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15、通风</w:t>
      </w:r>
      <w:r>
        <w:rPr>
          <w:rFonts w:hint="eastAsia" w:ascii="宋体" w:hAnsi="宋体" w:eastAsia="宋体" w:cs="宋体"/>
          <w:b w:val="0"/>
          <w:bCs/>
          <w:sz w:val="24"/>
          <w:szCs w:val="24"/>
          <w:lang w:val="en-US" w:eastAsia="zh-CN"/>
        </w:rPr>
        <w:t>柜（橱）</w:t>
      </w:r>
      <w:r>
        <w:rPr>
          <w:rFonts w:hint="default" w:ascii="宋体" w:hAnsi="宋体" w:eastAsia="宋体" w:cs="宋体"/>
          <w:b w:val="0"/>
          <w:bCs/>
          <w:sz w:val="24"/>
          <w:szCs w:val="24"/>
        </w:rPr>
        <w:t>技术要求</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15.1技术性能</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15.1.1单台通风柜风量300m³-500m³/h；</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15.1.2采用风幕式通风柜；</w:t>
      </w:r>
    </w:p>
    <w:p>
      <w:pPr>
        <w:adjustRightInd w:val="0"/>
        <w:spacing w:line="360" w:lineRule="auto"/>
        <w:ind w:firstLine="480" w:firstLineChars="200"/>
        <w:rPr>
          <w:rFonts w:hint="eastAsia" w:ascii="宋体" w:hAnsi="宋体" w:eastAsia="宋体" w:cs="宋体"/>
          <w:b w:val="0"/>
          <w:bCs/>
          <w:sz w:val="24"/>
          <w:szCs w:val="24"/>
          <w:lang w:eastAsia="zh-CN"/>
        </w:rPr>
      </w:pPr>
      <w:r>
        <w:rPr>
          <w:rFonts w:hint="default" w:ascii="宋体" w:hAnsi="宋体" w:eastAsia="宋体" w:cs="宋体"/>
          <w:b w:val="0"/>
          <w:bCs/>
          <w:sz w:val="24"/>
          <w:szCs w:val="24"/>
        </w:rPr>
        <w:t>15.1.3通风柜工作时，杜绝通风柜内有毒有害气体溢出</w:t>
      </w:r>
      <w:r>
        <w:rPr>
          <w:rFonts w:hint="eastAsia" w:ascii="宋体" w:hAnsi="宋体" w:eastAsia="宋体" w:cs="宋体"/>
          <w:b w:val="0"/>
          <w:bCs/>
          <w:sz w:val="24"/>
          <w:szCs w:val="24"/>
          <w:lang w:eastAsia="zh-CN"/>
        </w:rPr>
        <w:t>；</w:t>
      </w:r>
    </w:p>
    <w:p>
      <w:pPr>
        <w:adjustRightInd w:val="0"/>
        <w:spacing w:line="360" w:lineRule="auto"/>
        <w:ind w:firstLine="480" w:firstLineChars="200"/>
        <w:rPr>
          <w:rFonts w:hint="eastAsia" w:ascii="宋体" w:hAnsi="宋体" w:eastAsia="宋体" w:cs="宋体"/>
          <w:b w:val="0"/>
          <w:bCs/>
          <w:sz w:val="24"/>
          <w:szCs w:val="24"/>
          <w:lang w:eastAsia="zh-CN"/>
        </w:rPr>
      </w:pPr>
      <w:r>
        <w:rPr>
          <w:rFonts w:hint="default" w:ascii="宋体" w:hAnsi="宋体" w:eastAsia="宋体" w:cs="宋体"/>
          <w:b w:val="0"/>
          <w:bCs/>
          <w:sz w:val="24"/>
          <w:szCs w:val="24"/>
        </w:rPr>
        <w:t>15.1.4人体感应探测器检测通风柜视窗前1.5m*0.5m范围，无人工作时视窗会自动下降到最底部</w:t>
      </w:r>
      <w:r>
        <w:rPr>
          <w:rFonts w:hint="eastAsia" w:ascii="宋体" w:hAnsi="宋体" w:eastAsia="宋体" w:cs="宋体"/>
          <w:b w:val="0"/>
          <w:bCs/>
          <w:sz w:val="24"/>
          <w:szCs w:val="24"/>
          <w:lang w:eastAsia="zh-CN"/>
        </w:rPr>
        <w:t>；</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15.1.5通风柜满足通风要求时，单台噪音≤50dB。</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15.2.生产工艺及技术参数</w:t>
      </w:r>
    </w:p>
    <w:p>
      <w:pPr>
        <w:adjustRightInd w:val="0"/>
        <w:spacing w:line="360" w:lineRule="auto"/>
        <w:ind w:firstLine="480" w:firstLineChars="200"/>
        <w:rPr>
          <w:rFonts w:hint="default" w:ascii="宋体" w:hAnsi="宋体" w:eastAsia="宋体" w:cs="宋体"/>
          <w:b w:val="0"/>
          <w:bCs/>
          <w:sz w:val="24"/>
          <w:szCs w:val="24"/>
          <w:lang w:val="en-US" w:eastAsia="zh-CN"/>
        </w:rPr>
      </w:pPr>
      <w:r>
        <w:rPr>
          <w:rFonts w:hint="default" w:ascii="宋体" w:hAnsi="宋体" w:eastAsia="宋体" w:cs="宋体"/>
          <w:b w:val="0"/>
          <w:bCs/>
          <w:sz w:val="24"/>
          <w:szCs w:val="24"/>
        </w:rPr>
        <w:t>15.2.1规格尺寸：1500</w:t>
      </w:r>
      <w:r>
        <w:rPr>
          <w:rFonts w:hint="eastAsia" w:ascii="宋体" w:hAnsi="宋体" w:eastAsia="宋体" w:cs="宋体"/>
          <w:b w:val="0"/>
          <w:bCs/>
          <w:sz w:val="24"/>
          <w:szCs w:val="24"/>
          <w:lang w:val="en-US" w:eastAsia="zh-CN"/>
        </w:rPr>
        <w:t>mm</w:t>
      </w:r>
      <w:r>
        <w:rPr>
          <w:rFonts w:hint="default" w:ascii="宋体" w:hAnsi="宋体" w:eastAsia="宋体" w:cs="宋体"/>
          <w:b w:val="0"/>
          <w:bCs/>
          <w:sz w:val="24"/>
          <w:szCs w:val="24"/>
        </w:rPr>
        <w:t>*890</w:t>
      </w:r>
      <w:r>
        <w:rPr>
          <w:rFonts w:hint="eastAsia" w:ascii="宋体" w:hAnsi="宋体" w:eastAsia="宋体" w:cs="宋体"/>
          <w:b w:val="0"/>
          <w:bCs/>
          <w:sz w:val="24"/>
          <w:szCs w:val="24"/>
          <w:lang w:val="en-US" w:eastAsia="zh-CN"/>
        </w:rPr>
        <w:t>mm</w:t>
      </w:r>
      <w:r>
        <w:rPr>
          <w:rFonts w:hint="default" w:ascii="宋体" w:hAnsi="宋体" w:eastAsia="宋体" w:cs="宋体"/>
          <w:b w:val="0"/>
          <w:bCs/>
          <w:sz w:val="24"/>
          <w:szCs w:val="24"/>
        </w:rPr>
        <w:t>*2350</w:t>
      </w:r>
      <w:r>
        <w:rPr>
          <w:rFonts w:hint="eastAsia" w:ascii="宋体" w:hAnsi="宋体" w:eastAsia="宋体" w:cs="宋体"/>
          <w:b w:val="0"/>
          <w:bCs/>
          <w:sz w:val="24"/>
          <w:szCs w:val="24"/>
          <w:lang w:val="en-US" w:eastAsia="zh-CN"/>
        </w:rPr>
        <w:t>mm</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15.2.2技术要求：长、宽、高误差点≤3mm;邻边垂直度、台面、框架直角线1000mm以下≤2mm；1000mm以上≤3mm；</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15.2.3内衬板与主框架连接采用插接式装配，</w:t>
      </w:r>
      <w:r>
        <w:rPr>
          <w:rFonts w:hint="eastAsia" w:ascii="宋体" w:hAnsi="宋体" w:eastAsia="宋体" w:cs="宋体"/>
          <w:b w:val="0"/>
          <w:bCs/>
          <w:sz w:val="24"/>
          <w:szCs w:val="24"/>
          <w:lang w:val="en-US" w:eastAsia="zh-CN"/>
        </w:rPr>
        <w:t>为</w:t>
      </w:r>
      <w:r>
        <w:rPr>
          <w:rFonts w:hint="default" w:ascii="宋体" w:hAnsi="宋体" w:eastAsia="宋体" w:cs="宋体"/>
          <w:b w:val="0"/>
          <w:bCs/>
          <w:sz w:val="24"/>
          <w:szCs w:val="24"/>
        </w:rPr>
        <w:t>防止腐蚀禁用铆钉或螺丝固定；</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15.3.结构及材质要求</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15.3.1上柜体：上柜体顶部含照明、自动门、排风系统</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15.3.1.1 前框架：采用采用1.2mm厚度优质冷轧钢板（品牌：首钢、宝钢、鞍钢</w:t>
      </w:r>
      <w:r>
        <w:rPr>
          <w:rFonts w:hint="eastAsia" w:ascii="宋体" w:hAnsi="宋体" w:eastAsia="宋体" w:cs="宋体"/>
          <w:b w:val="0"/>
          <w:bCs/>
          <w:sz w:val="24"/>
          <w:szCs w:val="24"/>
          <w:lang w:val="en-US" w:eastAsia="zh-CN"/>
        </w:rPr>
        <w:t>等同等规格产品</w:t>
      </w:r>
      <w:r>
        <w:rPr>
          <w:rFonts w:hint="default" w:ascii="宋体" w:hAnsi="宋体" w:eastAsia="宋体" w:cs="宋体"/>
          <w:b w:val="0"/>
          <w:bCs/>
          <w:sz w:val="24"/>
          <w:szCs w:val="24"/>
        </w:rPr>
        <w:t>）焊制为一体，表面经酸洗磷化高压喷淋工艺处理、烘干后使用进口阿克苏环氧树脂喷涂粉末静电喷涂经180°高温固化，涂层厚度≥70μm，满足</w:t>
      </w:r>
      <w:r>
        <w:rPr>
          <w:rFonts w:hint="eastAsia" w:ascii="宋体" w:hAnsi="宋体" w:eastAsia="宋体" w:cs="宋体"/>
          <w:b w:val="0"/>
          <w:bCs/>
          <w:sz w:val="24"/>
          <w:szCs w:val="24"/>
          <w:lang w:val="en-US" w:eastAsia="zh-CN"/>
        </w:rPr>
        <w:t>试验室</w:t>
      </w:r>
      <w:r>
        <w:rPr>
          <w:rFonts w:hint="default" w:ascii="宋体" w:hAnsi="宋体" w:eastAsia="宋体" w:cs="宋体"/>
          <w:b w:val="0"/>
          <w:bCs/>
          <w:sz w:val="24"/>
          <w:szCs w:val="24"/>
        </w:rPr>
        <w:t>家具硬度、耐腐蚀、附着力的技术要求。表面光滑均匀、色泽一致、无流挂、皱皮、鼓泡、凹陷、压痕。</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15.3.1.2主框架：采用1.2mm厚度优质冷轧钢板，表面经酸洗磷化高压喷淋工艺处理、烘干后使用进口“阿克苏”环氧树脂喷涂粉末静电喷涂经180°高温固化，涂层厚度 ≥70μm，满足实验室家具硬度、耐腐蚀、附着力的技术要求。表面光滑均匀、色泽一致、无流挂、皱皮、鼓泡、凹陷、压痕。提供“阿克苏”塑粉的检测报告。</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15.3.2内衬板：根据不同的</w:t>
      </w:r>
      <w:r>
        <w:rPr>
          <w:rFonts w:hint="eastAsia" w:ascii="宋体" w:hAnsi="宋体" w:eastAsia="宋体" w:cs="宋体"/>
          <w:b w:val="0"/>
          <w:bCs/>
          <w:sz w:val="24"/>
          <w:szCs w:val="24"/>
          <w:lang w:val="en-US" w:eastAsia="zh-CN"/>
        </w:rPr>
        <w:t>试验室</w:t>
      </w:r>
      <w:r>
        <w:rPr>
          <w:rFonts w:hint="default" w:ascii="宋体" w:hAnsi="宋体" w:eastAsia="宋体" w:cs="宋体"/>
          <w:b w:val="0"/>
          <w:bCs/>
          <w:sz w:val="24"/>
          <w:szCs w:val="24"/>
        </w:rPr>
        <w:t>来选配不同材质的内衬板。</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内衬板：选用实验室专用的厚度5mm低播焰材料制成的耐腐蚀、耐污染、易清洁、抗冲击、环保的抗倍特板。同时达到国内外专业要求的技术质量使用标准。出具相应的检测报告、证书复印件(盖公章）</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15.3.2.2产品物理性能：</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按国家标准“GB/T7911-2013热固性树脂浸渍纸高压装饰层积板”进行检测，其物理性能达到或优于标准要求：1.表面耐磨性能1100r；2.耐湿热新能：等级1；3.耐大球冲击：压痕直径：0mm；4.耐香烟灼烧性能：2级；5.耐龟裂性能:等级5；6.表面耐水蒸气性能：等级1；7.表面耐划痕性能：等级1；8.拉伸强度：68.6MPa；9.弯曲强度：横向99.2 Mpa MPa，纵向93.3弯曲弹性模量：横向9600 Mpa，纵向8960 Mpa。</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通过SGS检测的燃烧性能C级即GB8624标准的B1级，板材密度达1447kg/m³</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15.3.2.3产品环保性能</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需提供GREENGUARD证书（环评认证。）</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需提供国家化学建筑材料测试中心依照FB18580-2001检测的甲醛释放量报告，检测结果0.01mg/l.</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15.3.3视窗</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15.3.3.1采用5mm厚钢化玻璃，要求透明度高，安全性高，视窗开启高度不小于730mm，能在任意位置悬停。</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15.3.3.2窗框采用PVC型材，耐酸碱腐蚀。</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15.3.4 排风箱：排风箱厚度70mm，采用PP材质制成。</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15.3.5 同步带：通风柜视窗升降采用同步带。</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15.3.6 人体感应：红外线实时扫描探测区域内物体的移动状态，并根据探测结果制视窗的自动降落。视窗无人降落感应时间可在0-5分钟内调整。</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15.3.7下柜部分：下柜为整体式全钢制下柜。</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15.3.7.1柜体</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（1）采用1.2mm厚冷轧钢板为基材，全自动压模成型，表面经磷化、酸洗、环氧树脂粉末烤漆处理、化学防锈处理，无突出漆块，光洁亮丽，抗强酸强碱性能突出；环氧树脂喷涂厚度 ≥70μm。烤漆符合CNS H2079-1983镀锌钢板烤漆膜厚、涂膜附着度（方格）试验。</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（2）调整脚采用不锈钢可调脚，下衬防水垫。</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15.3.7.2 柜门：采用1.0mm厚优质冷轧钢板（品牌：首钢、宝钢、鞍钢</w:t>
      </w:r>
      <w:r>
        <w:rPr>
          <w:rFonts w:hint="eastAsia" w:ascii="宋体" w:hAnsi="宋体" w:eastAsia="宋体" w:cs="宋体"/>
          <w:b w:val="0"/>
          <w:bCs/>
          <w:sz w:val="24"/>
          <w:szCs w:val="24"/>
          <w:lang w:val="en-US" w:eastAsia="zh-CN"/>
        </w:rPr>
        <w:t>或同等规格产品</w:t>
      </w:r>
      <w:r>
        <w:rPr>
          <w:rFonts w:hint="default" w:ascii="宋体" w:hAnsi="宋体" w:eastAsia="宋体" w:cs="宋体"/>
          <w:b w:val="0"/>
          <w:bCs/>
          <w:sz w:val="24"/>
          <w:szCs w:val="24"/>
        </w:rPr>
        <w:t>），内外双层扣合式，内填充隔音材料，所有工件经模具冲压折弯焊接而成，焊接部分打磨、抛光处理平滑过渡，焊点无毛刺及虚焊，表面经高压喷淋工艺处理、烘干后使用环氧树脂喷涂粉末静电喷涂经180°高温固化，涂层厚度≥70μm，满足</w:t>
      </w:r>
      <w:r>
        <w:rPr>
          <w:rFonts w:hint="eastAsia" w:ascii="宋体" w:hAnsi="宋体" w:eastAsia="宋体" w:cs="宋体"/>
          <w:b w:val="0"/>
          <w:bCs/>
          <w:sz w:val="24"/>
          <w:szCs w:val="24"/>
          <w:lang w:val="en-US" w:eastAsia="zh-CN"/>
        </w:rPr>
        <w:t>试验室</w:t>
      </w:r>
      <w:r>
        <w:rPr>
          <w:rFonts w:hint="default" w:ascii="宋体" w:hAnsi="宋体" w:eastAsia="宋体" w:cs="宋体"/>
          <w:b w:val="0"/>
          <w:bCs/>
          <w:sz w:val="24"/>
          <w:szCs w:val="24"/>
        </w:rPr>
        <w:t>家具硬度、耐腐蚀、附着力的技术要求。表面光滑均匀、色泽一致、无流挂、皱皮、鼓泡、凹陷、压痕。</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（1）拉手：把手采用太空铝工字型。</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（2）铰链：采用不锈钢铰链，带阻尼缓冲。（品牌：DTC、海福乐、FGV</w:t>
      </w:r>
      <w:r>
        <w:rPr>
          <w:rFonts w:hint="eastAsia" w:ascii="宋体" w:hAnsi="宋体" w:eastAsia="宋体" w:cs="宋体"/>
          <w:b w:val="0"/>
          <w:bCs/>
          <w:sz w:val="24"/>
          <w:szCs w:val="24"/>
          <w:lang w:val="en-US" w:eastAsia="zh-CN"/>
        </w:rPr>
        <w:t>或同等规格产品</w:t>
      </w:r>
      <w:r>
        <w:rPr>
          <w:rFonts w:hint="default" w:ascii="宋体" w:hAnsi="宋体" w:eastAsia="宋体" w:cs="宋体"/>
          <w:b w:val="0"/>
          <w:bCs/>
          <w:sz w:val="24"/>
          <w:szCs w:val="24"/>
        </w:rPr>
        <w:t>）</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15.3.8通风柜台面：本项目要求采用优质19mm环氧树脂台面板，结构坚固致密，耐强酸碱、抗高温、防腐蚀，绝对防潮、耐刻划，经久耐用、具备打磨还原性能及良好的承重性能等特点。台面板性能要求：</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（1）由环氧树脂、石英砂、石英粉，固化剂和颜料浇筑而成；</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（2）不可燃，耐600℃高温（瞬间），表面与火焰直接接触不起泡、不断裂；与实验室常见高温长时间接触，受热时无异味产生，对人体的伤害降到最低。</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（3）环氧树脂台面，台面刮伤后可修复，惰性材料，在24小时的抗化学试剂的测试中表现优异，对不同种类的化学试剂具有超强抗腐蚀性能，所提供的环氧树脂台面必须不低于以下技术参数性能。</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A、理化性能：75项（质量符合国家化学建筑材料测试中心编号2022（X）10099）2023(X)09047</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 硫酸（98%），（2）王水，（3）次氯酸钠（13%），（4）甲酚红-乙醇（0.1%），（5）三氯甲烷，（6）二甲苯，（7）氯化钠（20%），（8）三氯乙烯，（9）硝酸（65%），（10）高氯酸(90%)，（11）三氯化铁（10%），（12）红药水,（13）乙醇(95%)，（14）氢氧化钠（40%），（15）乙酸（99%），（16）氨水（28%），(17)苯酚饱和液，（18）四氯呋喃，（19）乙酸乙酯，（20）甲苯，（21）汽油，（22）二氯甲烷，（23）重铬酸钾（5%），（24）对甲酚，（25）N,N-二甲基甲酰胺，（26）四氯化碳，（27）石脑油，（28）乙酸正戊酯，（29）柠檬酸(10%)，（30）乙醚，（31）2-丁酮，（32）亚加蓝（1%），（33）丙酮，（34）氯化锌饱和，（35）无水甲醇，（36）正己烷，（37）双氧水（3%），（38）盐酸（37%），（39）正丁醇，（40）氢氟酸（40%），（41）硝酸银（1%），（42）氯化（10%），（43）凡士林，（44）碘酒，（45）磷酸（85%），（46）硫酸钠饱和液，（47）氯苯，（48）硫酸铜（10%），（49）萘，（50）乙腈，（51）异丙醇，（52）1,4-二氧六环，（53）甲醛（37%）,(54)甲酸（88%）,（55）氯化铁（10%），（56）氯化（5%），（57）亚甲基蓝（5%），（58）过氧化氢（30%），（59）磷酸氢二钠（5%），（60）尿素（6%），（61）无水乙醇，（62）糠醛，（63）硝酸银饱和液，（64）草酸饱和液，（65）铬酸洗液，（66）苯，（67）异丙醚，（68）松节油，（69）机油，（70）煤油，（71）石油醚，（72）异辛烷，（73）洗涤剂，（74）紫药水，（75）碘伏。经盖玻及不盖玻24H检测均为5级。</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B、物理性能：（质量符合国家化学建筑材料测试中心编号2023（X）09046和2023（X）09063）</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1）密度：2.09g/cm3（GB/T 17657-2022 4.2)；</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2）含水率（%): 0.02% (GB/T 17657-2022 4.3)；</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3）耐高温（120℃，2h):表面无裂纹（GB/T 17657-2022 4.30）；</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4）耐光色牢度级：＞4（GB/T 17657-2022 4.31);</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5）表面耐龟裂性：5级，用6倍放大镜观察表面无裂纹(GB/T 17657-2022 4.39）；</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6）表面耐划痕性能：4N，试件表面无大于90&amp;的连续划痕，表面装饰花纹无破坏现象 (GB/T 17657-2022 4.42)；</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7）表面耐磨性，r：＞3000 (GB/T 17657-2022 4.45)；</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8）表面耐干热性能（180℃）：5级，无明显变化 (GB/T 17657-2022 4.48)；</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9）表面耐湿热性能：5级，无明显变化 (GB/T 17657-2022 4.50)；</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10）水平燃烧：HB级（GB/T 2408-2021)；</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11）耐香烟燃烧性：5级，无明显变化（GB/T 7911-2013 7.3.14）；</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12）洛氏硬度（R）：120（ASTM D785-08(2015）)；</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13）弯曲弹性模量，MPa: 2.15*104 (ASTM D790-17)；</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14）导热系数，W/m.k：1.865 （GB/T 10297-2015）；</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15）负荷变形温度（0.45MPa），℃：＞180（GB/T 1634.2-2019）；</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16）压缩强度，MPa: 236（GB/T 1041-2008 ）；</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17）表面耐水蒸气性：5级，无变化（GB/T 17657-2022 4.38）；</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18）表面耐冷热循环：表面无裂纹、鼓泡（GB/T 17657-2022 4.40）；</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19）抗冲击（1m，0.324kg）,mm: 4.5 无破损 （GB/T 17657-2022 4.53）；</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20）耐静电性能，Ω: 9.94*1014 （GB/T 17657-2022 4.56）；</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21）耐老化性能：表面无明显可见变化（GB/T 7911-2013 7.3.22）；</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22）吸水厚度膨胀率，%：0.1（GB/T 17657-2022 4.4）；</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23）表面耐沸水（3h）：外观: 5级，无变化（GB/T 17657-2022.4.52），质量增加，%:0.03(GB/T 17657-2022 4.52)，厚度增加，%：0.1（GB/T 17657-2022 4.52）；</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24）弯曲强度，MPa: 91.6 (ASTM D790-17)；</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25）简支梁无口冲击强度（23℃），kJ/m2: 9.3（C）（GB/T 1043.1-2008）；</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26）简支梁无口冲击强度（-40℃），kJ/m2: 8.2（C）（GB/T 1043.1-2008）；</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w:t>
      </w:r>
      <w:r>
        <w:rPr>
          <w:rFonts w:hint="eastAsia" w:ascii="宋体" w:hAnsi="宋体" w:eastAsia="宋体" w:cs="宋体"/>
          <w:b w:val="0"/>
          <w:bCs/>
          <w:sz w:val="24"/>
          <w:szCs w:val="24"/>
          <w:lang w:val="en-US" w:eastAsia="zh-CN"/>
        </w:rPr>
        <w:t>4</w:t>
      </w:r>
      <w:r>
        <w:rPr>
          <w:rFonts w:hint="default" w:ascii="宋体" w:hAnsi="宋体" w:eastAsia="宋体" w:cs="宋体"/>
          <w:b w:val="0"/>
          <w:bCs/>
          <w:sz w:val="24"/>
          <w:szCs w:val="24"/>
        </w:rPr>
        <w:t>）表面无毛细孔；</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w:t>
      </w:r>
      <w:r>
        <w:rPr>
          <w:rFonts w:hint="eastAsia" w:ascii="宋体" w:hAnsi="宋体" w:eastAsia="宋体" w:cs="宋体"/>
          <w:b w:val="0"/>
          <w:bCs/>
          <w:sz w:val="24"/>
          <w:szCs w:val="24"/>
          <w:lang w:val="en-US" w:eastAsia="zh-CN"/>
        </w:rPr>
        <w:t>5</w:t>
      </w:r>
      <w:r>
        <w:rPr>
          <w:rFonts w:hint="default" w:ascii="宋体" w:hAnsi="宋体" w:eastAsia="宋体" w:cs="宋体"/>
          <w:b w:val="0"/>
          <w:bCs/>
          <w:sz w:val="24"/>
          <w:szCs w:val="24"/>
        </w:rPr>
        <w:t>）不含任何易吸潮的成份，安装后不起翘变形；</w:t>
      </w:r>
    </w:p>
    <w:p>
      <w:pPr>
        <w:adjustRightInd w:val="0"/>
        <w:spacing w:line="360" w:lineRule="auto"/>
        <w:ind w:firstLine="480" w:firstLineChars="200"/>
        <w:rPr>
          <w:rFonts w:hint="default" w:ascii="宋体" w:hAnsi="宋体" w:eastAsia="宋体" w:cs="宋体"/>
          <w:b w:val="0"/>
          <w:bCs/>
          <w:sz w:val="24"/>
          <w:szCs w:val="24"/>
        </w:rPr>
      </w:pPr>
      <w:r>
        <w:rPr>
          <w:rFonts w:hint="default" w:ascii="宋体" w:hAnsi="宋体" w:eastAsia="宋体" w:cs="宋体"/>
          <w:b w:val="0"/>
          <w:bCs/>
          <w:sz w:val="24"/>
          <w:szCs w:val="24"/>
        </w:rPr>
        <w:t>（</w:t>
      </w:r>
      <w:r>
        <w:rPr>
          <w:rFonts w:hint="eastAsia" w:ascii="宋体" w:hAnsi="宋体" w:eastAsia="宋体" w:cs="宋体"/>
          <w:b w:val="0"/>
          <w:bCs/>
          <w:sz w:val="24"/>
          <w:szCs w:val="24"/>
          <w:lang w:val="en-US" w:eastAsia="zh-CN"/>
        </w:rPr>
        <w:t>6</w:t>
      </w:r>
      <w:r>
        <w:rPr>
          <w:rFonts w:hint="default" w:ascii="宋体" w:hAnsi="宋体" w:eastAsia="宋体" w:cs="宋体"/>
          <w:b w:val="0"/>
          <w:bCs/>
          <w:sz w:val="24"/>
          <w:szCs w:val="24"/>
        </w:rPr>
        <w:t>）不含任何有毒物质，不释放任何有害物质，不可燃，不导电，受热时不产生有毒气体，不会侵害操作人员的安全健康。</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6</w:t>
      </w:r>
      <w:r>
        <w:rPr>
          <w:rFonts w:hint="eastAsia" w:ascii="宋体" w:hAnsi="宋体" w:eastAsia="宋体" w:cs="宋体"/>
          <w:b w:val="0"/>
          <w:bCs/>
          <w:sz w:val="24"/>
          <w:szCs w:val="24"/>
          <w:lang w:val="en-GB"/>
        </w:rPr>
        <w:t>、</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排风系统范围界限</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6</w:t>
      </w:r>
      <w:r>
        <w:rPr>
          <w:rFonts w:hint="eastAsia" w:ascii="宋体" w:hAnsi="宋体" w:eastAsia="宋体" w:cs="宋体"/>
          <w:b w:val="0"/>
          <w:bCs/>
          <w:sz w:val="24"/>
          <w:szCs w:val="24"/>
          <w:lang w:val="en-GB"/>
        </w:rPr>
        <w:t>.1本次排风系统包含</w:t>
      </w:r>
      <w:r>
        <w:rPr>
          <w:rFonts w:hint="eastAsia" w:ascii="宋体" w:hAnsi="宋体" w:eastAsia="宋体" w:cs="宋体"/>
          <w:b w:val="0"/>
          <w:bCs/>
          <w:sz w:val="24"/>
          <w:szCs w:val="24"/>
          <w:lang w:val="en-US" w:eastAsia="zh-CN"/>
        </w:rPr>
        <w:t>试验室</w:t>
      </w:r>
      <w:r>
        <w:rPr>
          <w:rFonts w:hint="eastAsia" w:ascii="宋体" w:hAnsi="宋体" w:eastAsia="宋体" w:cs="宋体"/>
          <w:b w:val="0"/>
          <w:bCs/>
          <w:sz w:val="24"/>
          <w:szCs w:val="24"/>
          <w:lang w:val="en-GB"/>
        </w:rPr>
        <w:t>一层</w:t>
      </w:r>
      <w:r>
        <w:rPr>
          <w:rFonts w:hint="eastAsia" w:ascii="宋体" w:hAnsi="宋体" w:eastAsia="宋体" w:cs="宋体"/>
          <w:b w:val="0"/>
          <w:bCs/>
          <w:sz w:val="24"/>
          <w:szCs w:val="24"/>
          <w:lang w:val="en-US" w:eastAsia="zh-CN"/>
        </w:rPr>
        <w:t>雾化+气味房间</w:t>
      </w:r>
      <w:r>
        <w:rPr>
          <w:rFonts w:hint="eastAsia" w:ascii="宋体" w:hAnsi="宋体" w:eastAsia="宋体" w:cs="宋体"/>
          <w:b w:val="0"/>
          <w:bCs/>
          <w:sz w:val="24"/>
          <w:szCs w:val="24"/>
          <w:lang w:val="en-GB"/>
        </w:rPr>
        <w:t>、</w:t>
      </w:r>
      <w:r>
        <w:rPr>
          <w:rFonts w:hint="eastAsia" w:ascii="宋体" w:hAnsi="宋体" w:eastAsia="宋体" w:cs="宋体"/>
          <w:b w:val="0"/>
          <w:bCs/>
          <w:sz w:val="24"/>
          <w:szCs w:val="24"/>
          <w:lang w:val="en-US" w:eastAsia="zh-CN"/>
        </w:rPr>
        <w:t>VOC分析室、VOC有机处理房间，</w:t>
      </w:r>
      <w:r>
        <w:rPr>
          <w:rFonts w:hint="eastAsia" w:ascii="宋体" w:hAnsi="宋体" w:eastAsia="宋体" w:cs="宋体"/>
          <w:b w:val="0"/>
          <w:bCs/>
          <w:sz w:val="24"/>
          <w:szCs w:val="24"/>
          <w:lang w:val="en-GB"/>
        </w:rPr>
        <w:t>二层</w:t>
      </w:r>
      <w:r>
        <w:rPr>
          <w:rFonts w:hint="eastAsia" w:ascii="宋体" w:hAnsi="宋体" w:eastAsia="宋体" w:cs="宋体"/>
          <w:b w:val="0"/>
          <w:bCs/>
          <w:sz w:val="24"/>
          <w:szCs w:val="24"/>
          <w:lang w:val="en-US" w:eastAsia="zh-CN"/>
        </w:rPr>
        <w:t>高温试验室、萃取试验间、非金属分析试验室、润滑油性能试验室、冷却液产品性能试验室、金相电镜制样室、老化试验室、盐雾试验室、漆膜试验室</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GB"/>
        </w:rPr>
        <w:t>化学</w:t>
      </w:r>
      <w:r>
        <w:rPr>
          <w:rFonts w:hint="eastAsia" w:ascii="宋体" w:hAnsi="宋体" w:eastAsia="宋体" w:cs="宋体"/>
          <w:b w:val="0"/>
          <w:bCs/>
          <w:sz w:val="24"/>
          <w:szCs w:val="24"/>
          <w:lang w:val="en-US" w:eastAsia="zh-CN"/>
        </w:rPr>
        <w:t>类的</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根据</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具体情况进行排风，物理</w:t>
      </w:r>
      <w:r>
        <w:rPr>
          <w:rFonts w:hint="eastAsia" w:ascii="宋体" w:hAnsi="宋体" w:eastAsia="宋体" w:cs="宋体"/>
          <w:b w:val="0"/>
          <w:bCs/>
          <w:sz w:val="24"/>
          <w:szCs w:val="24"/>
          <w:lang w:val="en-US" w:eastAsia="zh-CN"/>
        </w:rPr>
        <w:t>类的</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维持</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微换风，排风次数按照1-3次考虑。</w:t>
      </w:r>
    </w:p>
    <w:p>
      <w:pPr>
        <w:spacing w:line="360" w:lineRule="auto"/>
        <w:ind w:firstLine="480" w:firstLineChars="200"/>
        <w:rPr>
          <w:rFonts w:hint="eastAsia" w:ascii="宋体" w:hAnsi="宋体" w:eastAsia="宋体" w:cs="宋体"/>
          <w:b w:val="0"/>
          <w:bCs/>
          <w:sz w:val="24"/>
          <w:szCs w:val="24"/>
          <w:lang w:val="en-GB" w:eastAsia="zh-CN"/>
        </w:rPr>
      </w:pP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6</w:t>
      </w:r>
      <w:r>
        <w:rPr>
          <w:rFonts w:hint="eastAsia" w:ascii="宋体" w:hAnsi="宋体" w:eastAsia="宋体" w:cs="宋体"/>
          <w:b w:val="0"/>
          <w:bCs/>
          <w:sz w:val="24"/>
          <w:szCs w:val="24"/>
          <w:lang w:val="en-GB"/>
        </w:rPr>
        <w:t>.2排风系统根据</w:t>
      </w:r>
      <w:r>
        <w:rPr>
          <w:rFonts w:hint="eastAsia" w:ascii="宋体" w:hAnsi="宋体" w:eastAsia="宋体" w:cs="宋体"/>
          <w:b w:val="0"/>
          <w:bCs/>
          <w:sz w:val="24"/>
          <w:szCs w:val="24"/>
          <w:lang w:val="en-GB" w:eastAsia="zh-CN"/>
        </w:rPr>
        <w:t>试验室</w:t>
      </w:r>
      <w:r>
        <w:rPr>
          <w:rFonts w:hint="eastAsia" w:ascii="宋体" w:hAnsi="宋体" w:eastAsia="宋体" w:cs="宋体"/>
          <w:b w:val="0"/>
          <w:bCs/>
          <w:sz w:val="24"/>
          <w:szCs w:val="24"/>
          <w:lang w:val="en-GB"/>
        </w:rPr>
        <w:t>布局</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US" w:eastAsia="zh-CN"/>
        </w:rPr>
        <w:t>做区域划分，</w:t>
      </w:r>
      <w:r>
        <w:rPr>
          <w:rFonts w:hint="eastAsia" w:ascii="宋体" w:hAnsi="宋体" w:eastAsia="宋体" w:cs="宋体"/>
          <w:b w:val="0"/>
          <w:bCs/>
          <w:sz w:val="24"/>
          <w:szCs w:val="24"/>
          <w:lang w:val="en-GB"/>
        </w:rPr>
        <w:t>统一从</w:t>
      </w:r>
      <w:r>
        <w:rPr>
          <w:rFonts w:hint="eastAsia" w:ascii="宋体" w:hAnsi="宋体" w:eastAsia="宋体" w:cs="宋体"/>
          <w:b w:val="0"/>
          <w:bCs/>
          <w:sz w:val="24"/>
          <w:szCs w:val="24"/>
          <w:lang w:val="en-US" w:eastAsia="zh-CN"/>
        </w:rPr>
        <w:t>二层</w:t>
      </w:r>
      <w:r>
        <w:rPr>
          <w:rFonts w:hint="eastAsia" w:ascii="宋体" w:hAnsi="宋体" w:eastAsia="宋体" w:cs="宋体"/>
          <w:b w:val="0"/>
          <w:bCs/>
          <w:sz w:val="24"/>
          <w:szCs w:val="24"/>
          <w:lang w:val="en-GB"/>
        </w:rPr>
        <w:t>内部</w:t>
      </w:r>
      <w:r>
        <w:rPr>
          <w:rFonts w:hint="eastAsia" w:ascii="宋体" w:hAnsi="宋体" w:eastAsia="宋体" w:cs="宋体"/>
          <w:b w:val="0"/>
          <w:bCs/>
          <w:sz w:val="24"/>
          <w:szCs w:val="24"/>
          <w:lang w:val="en-US" w:eastAsia="zh-CN"/>
        </w:rPr>
        <w:t>汇总后，穿楼板至屋面外，避免管道出现在天井内，</w:t>
      </w:r>
      <w:r>
        <w:rPr>
          <w:rFonts w:hint="eastAsia" w:ascii="宋体" w:hAnsi="宋体" w:eastAsia="宋体" w:cs="宋体"/>
          <w:b w:val="0"/>
          <w:bCs/>
          <w:sz w:val="24"/>
          <w:szCs w:val="24"/>
          <w:lang w:val="en-GB"/>
        </w:rPr>
        <w:t>经尾气处理合格后集中高空排放</w:t>
      </w:r>
      <w:r>
        <w:rPr>
          <w:rFonts w:hint="eastAsia" w:ascii="宋体" w:hAnsi="宋体" w:eastAsia="宋体" w:cs="宋体"/>
          <w:b w:val="0"/>
          <w:bCs/>
          <w:sz w:val="24"/>
          <w:szCs w:val="24"/>
          <w:lang w:val="en-GB" w:eastAsia="zh-CN"/>
        </w:rPr>
        <w:t>。</w:t>
      </w:r>
      <w:r>
        <w:rPr>
          <w:rFonts w:hint="eastAsia" w:ascii="宋体" w:hAnsi="宋体" w:eastAsia="宋体" w:cs="宋体"/>
          <w:bCs/>
          <w:sz w:val="24"/>
          <w:szCs w:val="24"/>
          <w:lang w:val="en-GB"/>
        </w:rPr>
        <w:t>如试验室</w:t>
      </w:r>
      <w:r>
        <w:rPr>
          <w:rFonts w:hint="eastAsia" w:ascii="宋体" w:hAnsi="宋体" w:eastAsia="宋体" w:cs="宋体"/>
          <w:bCs/>
          <w:sz w:val="24"/>
          <w:szCs w:val="24"/>
          <w:lang w:val="en-US" w:eastAsia="zh-CN"/>
        </w:rPr>
        <w:t>室</w:t>
      </w:r>
      <w:r>
        <w:rPr>
          <w:rFonts w:hint="eastAsia" w:ascii="宋体" w:hAnsi="宋体" w:eastAsia="宋体" w:cs="宋体"/>
          <w:bCs/>
          <w:sz w:val="24"/>
          <w:szCs w:val="24"/>
          <w:lang w:val="en-GB"/>
        </w:rPr>
        <w:t>内需要布置汇总立管，在立管外需进行隔音降噪处理。立管外包阻尼片及隔音泡沫后，再以</w:t>
      </w:r>
      <w:r>
        <w:rPr>
          <w:rFonts w:hint="eastAsia" w:ascii="宋体" w:hAnsi="宋体" w:eastAsia="宋体" w:cs="宋体"/>
          <w:bCs/>
          <w:sz w:val="24"/>
          <w:szCs w:val="24"/>
          <w:lang w:val="en-US" w:eastAsia="zh-CN"/>
        </w:rPr>
        <w:t>装饰板</w:t>
      </w:r>
      <w:r>
        <w:rPr>
          <w:rFonts w:hint="eastAsia" w:ascii="宋体" w:hAnsi="宋体" w:eastAsia="宋体" w:cs="宋体"/>
          <w:bCs/>
          <w:sz w:val="24"/>
          <w:szCs w:val="24"/>
          <w:lang w:val="en-GB"/>
        </w:rPr>
        <w:t>包裹，装饰板高度与</w:t>
      </w:r>
      <w:r>
        <w:rPr>
          <w:rFonts w:hint="eastAsia" w:ascii="宋体" w:hAnsi="宋体" w:eastAsia="宋体" w:cs="宋体"/>
          <w:bCs/>
          <w:sz w:val="24"/>
          <w:szCs w:val="24"/>
          <w:lang w:val="en-US" w:eastAsia="zh-CN"/>
        </w:rPr>
        <w:t>天花板吊顶</w:t>
      </w:r>
      <w:r>
        <w:rPr>
          <w:rFonts w:hint="eastAsia" w:ascii="宋体" w:hAnsi="宋体" w:eastAsia="宋体" w:cs="宋体"/>
          <w:bCs/>
          <w:sz w:val="24"/>
          <w:szCs w:val="24"/>
          <w:lang w:val="en-GB"/>
        </w:rPr>
        <w:t>等高</w:t>
      </w:r>
      <w:r>
        <w:rPr>
          <w:rFonts w:hint="eastAsia" w:ascii="宋体" w:hAnsi="宋体" w:eastAsia="宋体" w:cs="宋体"/>
          <w:bCs/>
          <w:sz w:val="24"/>
          <w:szCs w:val="24"/>
          <w:lang w:val="en-US" w:eastAsia="zh-CN"/>
        </w:rPr>
        <w:t>且颜色需要保持一致</w:t>
      </w:r>
      <w:r>
        <w:rPr>
          <w:rFonts w:hint="eastAsia" w:ascii="宋体" w:hAnsi="宋体" w:eastAsia="宋体" w:cs="宋体"/>
          <w:bCs/>
          <w:sz w:val="24"/>
          <w:szCs w:val="24"/>
          <w:lang w:val="en-GB"/>
        </w:rPr>
        <w:t>。</w:t>
      </w:r>
    </w:p>
    <w:p>
      <w:pPr>
        <w:spacing w:line="360" w:lineRule="auto"/>
        <w:ind w:firstLine="480" w:firstLineChars="200"/>
        <w:rPr>
          <w:rFonts w:hint="eastAsia" w:ascii="宋体" w:hAnsi="宋体" w:eastAsia="宋体" w:cs="宋体"/>
          <w:b w:val="0"/>
          <w:bCs/>
          <w:sz w:val="24"/>
          <w:szCs w:val="24"/>
          <w:lang w:val="en-GB"/>
        </w:rPr>
      </w:pPr>
      <w:r>
        <w:rPr>
          <w:rFonts w:hint="eastAsia" w:ascii="宋体" w:hAnsi="宋体" w:eastAsia="宋体" w:cs="宋体"/>
          <w:b w:val="0"/>
          <w:bCs/>
          <w:sz w:val="24"/>
          <w:szCs w:val="24"/>
          <w:lang w:val="en-GB"/>
        </w:rPr>
        <w:t>1</w:t>
      </w:r>
      <w:r>
        <w:rPr>
          <w:rFonts w:hint="eastAsia" w:ascii="宋体" w:hAnsi="宋体" w:eastAsia="宋体" w:cs="宋体"/>
          <w:b w:val="0"/>
          <w:bCs/>
          <w:sz w:val="24"/>
          <w:szCs w:val="24"/>
          <w:lang w:val="en-US" w:eastAsia="zh-CN"/>
        </w:rPr>
        <w:t>6</w:t>
      </w:r>
      <w:r>
        <w:rPr>
          <w:rFonts w:hint="eastAsia" w:ascii="宋体" w:hAnsi="宋体" w:eastAsia="宋体" w:cs="宋体"/>
          <w:b w:val="0"/>
          <w:bCs/>
          <w:sz w:val="24"/>
          <w:szCs w:val="24"/>
          <w:lang w:val="en-GB"/>
        </w:rPr>
        <w:t>.3新风系统根据</w:t>
      </w:r>
      <w:r>
        <w:rPr>
          <w:rFonts w:hint="eastAsia" w:ascii="宋体" w:hAnsi="宋体" w:eastAsia="宋体" w:cs="宋体"/>
          <w:b w:val="0"/>
          <w:bCs/>
          <w:sz w:val="24"/>
          <w:szCs w:val="24"/>
          <w:lang w:val="en-US" w:eastAsia="zh-CN"/>
        </w:rPr>
        <w:t>试验室布局及需求</w:t>
      </w:r>
      <w:r>
        <w:rPr>
          <w:rFonts w:hint="eastAsia" w:ascii="宋体" w:hAnsi="宋体" w:eastAsia="宋体" w:cs="宋体"/>
          <w:b w:val="0"/>
          <w:bCs/>
          <w:sz w:val="24"/>
          <w:szCs w:val="24"/>
          <w:lang w:val="en-GB" w:eastAsia="zh-CN"/>
        </w:rPr>
        <w:t>，</w:t>
      </w:r>
      <w:r>
        <w:rPr>
          <w:rFonts w:hint="eastAsia" w:ascii="宋体" w:hAnsi="宋体" w:eastAsia="宋体" w:cs="宋体"/>
          <w:b w:val="0"/>
          <w:bCs/>
          <w:sz w:val="24"/>
          <w:szCs w:val="24"/>
          <w:lang w:val="en-GB"/>
        </w:rPr>
        <w:t>从</w:t>
      </w:r>
      <w:r>
        <w:rPr>
          <w:rFonts w:hint="eastAsia" w:ascii="宋体" w:hAnsi="宋体" w:eastAsia="宋体" w:cs="宋体"/>
          <w:b w:val="0"/>
          <w:bCs/>
          <w:sz w:val="24"/>
          <w:szCs w:val="24"/>
          <w:lang w:val="en-US" w:eastAsia="zh-CN"/>
        </w:rPr>
        <w:t>屋面穿孔</w:t>
      </w:r>
      <w:r>
        <w:rPr>
          <w:rFonts w:hint="eastAsia" w:ascii="宋体" w:hAnsi="宋体" w:eastAsia="宋体" w:cs="宋体"/>
          <w:b w:val="0"/>
          <w:bCs/>
          <w:sz w:val="24"/>
          <w:szCs w:val="24"/>
          <w:lang w:val="en-GB"/>
        </w:rPr>
        <w:t>下至室内，</w:t>
      </w:r>
      <w:r>
        <w:rPr>
          <w:rFonts w:hint="eastAsia" w:ascii="宋体" w:hAnsi="宋体" w:eastAsia="宋体" w:cs="宋体"/>
          <w:b w:val="0"/>
          <w:bCs/>
          <w:sz w:val="24"/>
          <w:szCs w:val="24"/>
          <w:lang w:val="en-US" w:eastAsia="zh-CN"/>
        </w:rPr>
        <w:t>避免管道出现在天井内。</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16.4各试验间废气种类如下：</w:t>
      </w:r>
    </w:p>
    <w:tbl>
      <w:tblPr>
        <w:tblStyle w:val="38"/>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791"/>
        <w:gridCol w:w="54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试验间</w:t>
            </w:r>
          </w:p>
        </w:tc>
        <w:tc>
          <w:tcPr>
            <w:tcW w:w="29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气体种类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零部件VOC-雾化+气味室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挥发性有机化合物（苯类、醛酮类等）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零部件VOC-VOC有机处理室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挥发性有机化合物（苯类、醛酮类等）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零部件VOC-VOC分析室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挥发性有机化合物（苯类、醛酮类等）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阻燃试验室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燃烧产物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非金属分析试验室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萃取用丙酮、甲苯；烃类气体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2041"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高温试验室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烃类气体；ASTM 1号油、3号油高温挥发物；尿素、冷却液、柴油等高温下挥发物；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盐雾试验室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盐雾气体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0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金相、电镜制样室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丙酮、4%硝酸酒精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20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冷却液产品性能试验室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硝酸、磷酸、盐酸、冰乙酸；冷却液高温下的挥发物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20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润滑油性能试验室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冰乙酸、甲苯、石油醚、丙酮、异丙醇、D80；润滑油高温下挥发物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20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color w:val="auto"/>
                <w:kern w:val="0"/>
                <w:sz w:val="20"/>
                <w:szCs w:val="20"/>
                <w:u w:val="none"/>
                <w:lang w:bidi="ar"/>
              </w:rPr>
              <w:t>老化试验室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烃类气体；ASTM 1号油、3号油高温挥发物；尿素、冷却液、柴油等高温下挥发物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20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val="0"/>
                <w:bCs w:val="0"/>
                <w:color w:val="auto"/>
                <w:kern w:val="0"/>
                <w:sz w:val="20"/>
                <w:szCs w:val="20"/>
                <w:u w:val="none"/>
                <w:lang w:val="en-US" w:eastAsia="zh-CN" w:bidi="ar"/>
              </w:rPr>
              <w:t>漆膜试验室</w:t>
            </w:r>
          </w:p>
        </w:tc>
        <w:tc>
          <w:tcPr>
            <w:tcW w:w="29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有机溶剂</w:t>
            </w:r>
          </w:p>
        </w:tc>
      </w:tr>
    </w:tbl>
    <w:p>
      <w:pPr>
        <w:spacing w:line="360" w:lineRule="auto"/>
        <w:ind w:firstLine="480" w:firstLineChars="200"/>
        <w:rPr>
          <w:rFonts w:hint="default" w:ascii="宋体" w:hAnsi="宋体" w:eastAsia="宋体" w:cs="宋体"/>
          <w:b w:val="0"/>
          <w:bCs/>
          <w:color w:val="auto"/>
          <w:sz w:val="24"/>
          <w:szCs w:val="24"/>
          <w:lang w:val="en-US" w:eastAsia="zh-CN"/>
        </w:rPr>
      </w:pPr>
    </w:p>
    <w:p>
      <w:pPr>
        <w:spacing w:line="360" w:lineRule="auto"/>
        <w:ind w:firstLine="480" w:firstLineChars="200"/>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16.5油品试验产生的含挥发性有机物、甲苯等有机废气收集后，需经两级活性炭吸附装置处理；油品试验产生的含硫酸雾等酸性废气收集后，经干式酸气吸附剂吸附处理；燃烧试验产生的含颗粒物、一氧化碳等废气收集后，经烟尘净化装置处理，烟尘净化装置由招标方提供。</w:t>
      </w:r>
    </w:p>
    <w:p>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16.6试验室内排风分室内排风及设备排风两类，其中设备排风需分步实施，排风管道需靠房间墙壁处预留接口，接口用盲板封堵，系统控制线做充分预留，待搬迁的设备通风橱等现场就位后，根据位置情况铺设房间内废气汇总管路及各设备分支管路，连接设备的分支管路长度需确保招标方可不增加管路用量，并完成电动风阀的安装及控制信号线的接入，搬迁的设备通风橱与相应排风管路的连接由招标方负责，新购的设备通风橱到场后按招标方要求直接与排风系统连接完成。存在设备排风的试验间可参考前文工艺平面图及其附件图纸。</w:t>
      </w:r>
    </w:p>
    <w:p>
      <w:pPr>
        <w:pStyle w:val="19"/>
        <w:spacing w:line="360" w:lineRule="auto"/>
        <w:ind w:firstLine="480" w:firstLineChars="200"/>
        <w:rPr>
          <w:rFonts w:hint="default" w:hAnsi="宋体" w:eastAsia="宋体" w:cs="宋体"/>
          <w:b w:val="0"/>
          <w:bCs/>
          <w:sz w:val="24"/>
          <w:szCs w:val="24"/>
          <w:lang w:val="en-US" w:eastAsia="zh-CN"/>
        </w:rPr>
      </w:pPr>
      <w:r>
        <w:rPr>
          <w:rFonts w:hint="eastAsia" w:hAnsi="宋体" w:eastAsia="宋体" w:cs="宋体"/>
          <w:b w:val="0"/>
          <w:bCs/>
          <w:sz w:val="24"/>
          <w:szCs w:val="24"/>
          <w:lang w:val="en-US" w:eastAsia="zh-CN"/>
        </w:rPr>
        <w:t>16.7</w:t>
      </w:r>
      <w:r>
        <w:rPr>
          <w:rFonts w:hint="eastAsia" w:ascii="宋体" w:hAnsi="宋体" w:eastAsia="宋体" w:cs="宋体"/>
          <w:b w:val="0"/>
          <w:bCs/>
          <w:sz w:val="24"/>
          <w:szCs w:val="24"/>
          <w:lang w:val="en-US" w:eastAsia="zh-CN"/>
        </w:rPr>
        <w:t>试验室内</w:t>
      </w:r>
      <w:r>
        <w:rPr>
          <w:rFonts w:hint="eastAsia" w:hAnsi="宋体" w:eastAsia="宋体" w:cs="宋体"/>
          <w:b w:val="0"/>
          <w:bCs/>
          <w:sz w:val="24"/>
          <w:szCs w:val="24"/>
          <w:lang w:val="en-US" w:eastAsia="zh-CN"/>
        </w:rPr>
        <w:t>新风</w:t>
      </w:r>
      <w:r>
        <w:rPr>
          <w:rFonts w:hint="eastAsia" w:ascii="宋体" w:hAnsi="宋体" w:eastAsia="宋体" w:cs="宋体"/>
          <w:b w:val="0"/>
          <w:bCs/>
          <w:sz w:val="24"/>
          <w:szCs w:val="24"/>
          <w:lang w:val="en-US" w:eastAsia="zh-CN"/>
        </w:rPr>
        <w:t>分室内</w:t>
      </w:r>
      <w:r>
        <w:rPr>
          <w:rFonts w:hint="eastAsia" w:hAnsi="宋体" w:eastAsia="宋体" w:cs="宋体"/>
          <w:b w:val="0"/>
          <w:bCs/>
          <w:sz w:val="24"/>
          <w:szCs w:val="24"/>
          <w:lang w:val="en-US" w:eastAsia="zh-CN"/>
        </w:rPr>
        <w:t>新风</w:t>
      </w:r>
      <w:r>
        <w:rPr>
          <w:rFonts w:hint="eastAsia" w:ascii="宋体" w:hAnsi="宋体" w:eastAsia="宋体" w:cs="宋体"/>
          <w:b w:val="0"/>
          <w:bCs/>
          <w:sz w:val="24"/>
          <w:szCs w:val="24"/>
          <w:lang w:val="en-US" w:eastAsia="zh-CN"/>
        </w:rPr>
        <w:t>及设备</w:t>
      </w:r>
      <w:r>
        <w:rPr>
          <w:rFonts w:hint="eastAsia" w:hAnsi="宋体" w:eastAsia="宋体" w:cs="宋体"/>
          <w:b w:val="0"/>
          <w:bCs/>
          <w:sz w:val="24"/>
          <w:szCs w:val="24"/>
          <w:lang w:val="en-US" w:eastAsia="zh-CN"/>
        </w:rPr>
        <w:t>新风</w:t>
      </w:r>
      <w:r>
        <w:rPr>
          <w:rFonts w:hint="eastAsia" w:ascii="宋体" w:hAnsi="宋体" w:eastAsia="宋体" w:cs="宋体"/>
          <w:b w:val="0"/>
          <w:bCs/>
          <w:sz w:val="24"/>
          <w:szCs w:val="24"/>
          <w:lang w:val="en-US" w:eastAsia="zh-CN"/>
        </w:rPr>
        <w:t>两类</w:t>
      </w:r>
      <w:r>
        <w:rPr>
          <w:rFonts w:hint="eastAsia" w:hAnsi="宋体" w:eastAsia="宋体" w:cs="宋体"/>
          <w:b w:val="0"/>
          <w:bCs/>
          <w:sz w:val="24"/>
          <w:szCs w:val="24"/>
          <w:lang w:val="en-US" w:eastAsia="zh-CN"/>
        </w:rPr>
        <w:t>，其中设备新风实施方式同16.6相关要求，</w:t>
      </w:r>
      <w:r>
        <w:rPr>
          <w:rFonts w:hint="eastAsia" w:ascii="宋体" w:hAnsi="宋体" w:eastAsia="宋体" w:cs="宋体"/>
          <w:b w:val="0"/>
          <w:bCs/>
          <w:sz w:val="24"/>
          <w:szCs w:val="24"/>
          <w:lang w:val="en-US" w:eastAsia="zh-CN"/>
        </w:rPr>
        <w:t>存在设备排风的试验间可参考前文工艺平面图及其附件图纸</w:t>
      </w:r>
      <w:r>
        <w:rPr>
          <w:rFonts w:hint="eastAsia" w:hAnsi="宋体" w:eastAsia="宋体" w:cs="宋体"/>
          <w:b w:val="0"/>
          <w:bCs/>
          <w:sz w:val="24"/>
          <w:szCs w:val="24"/>
          <w:lang w:val="en-US" w:eastAsia="zh-CN"/>
        </w:rPr>
        <w:t>，室内新风出风口高度以招标方吊顶装修为准。部分房间存在设备自房间取新风的情况，冷却液性能试验室有原子吸收罩2个及万向排风罩4个，通风量在300~400m³/h；润滑油性能试验室存在老式通风橱2个，老式通风橱的新风来自室内新风，通风量在300~500m³/h，原子吸收罩1个及万向排风罩1个，风量在300~400m³/h；阻燃试验室配有400mm*400mm尺寸的排烟管道，通风量按照最高不超过1200m³/h；气味雾化室存在桌面式排风罩3个（3000mm*900mm规格下通风量在600~800m³/h，该规格有2个，剩余1个为1500mm*900mm规格，通风量为300~400m³/h，上述排风罩上端风口尺寸为250mm）；VOC有机处理室存在3000mm*900mm规格的桌面式排风罩1个，通风量及上端风口尺寸如前述，1个试剂柜直抽，通风量可按300m³/h考虑；VOC分析室存在万向排风罩2个，通风量如前述，上端风口尺寸为110mm，上述试验室新风设计需同时满足室内及室内取新风的设备要求。上述为招标方原有设备，投标方需完成其与排风、补风系统的联动。</w:t>
      </w:r>
    </w:p>
    <w:p>
      <w:pPr>
        <w:pStyle w:val="19"/>
        <w:spacing w:line="360" w:lineRule="auto"/>
        <w:ind w:firstLine="480" w:firstLineChars="200"/>
        <w:rPr>
          <w:rFonts w:hint="eastAsia" w:hAnsi="宋体" w:eastAsia="宋体" w:cs="宋体"/>
          <w:b w:val="0"/>
          <w:bCs/>
          <w:sz w:val="24"/>
          <w:szCs w:val="24"/>
          <w:lang w:val="en-US" w:eastAsia="zh-CN"/>
        </w:rPr>
      </w:pPr>
      <w:r>
        <w:rPr>
          <w:rFonts w:hint="eastAsia" w:hAnsi="宋体" w:eastAsia="宋体" w:cs="宋体"/>
          <w:b w:val="0"/>
          <w:bCs/>
          <w:sz w:val="24"/>
          <w:szCs w:val="24"/>
          <w:lang w:val="en-US" w:eastAsia="zh-CN"/>
        </w:rPr>
        <w:t>16.8橡塑材料试验室的萃取试验间及</w:t>
      </w:r>
      <w:r>
        <w:rPr>
          <w:rFonts w:hint="eastAsia" w:hAnsi="宋体" w:eastAsia="宋体" w:cs="宋体"/>
          <w:bCs/>
          <w:sz w:val="24"/>
          <w:szCs w:val="24"/>
        </w:rPr>
        <w:t>金相、电镜试验室</w:t>
      </w:r>
      <w:r>
        <w:rPr>
          <w:rFonts w:hint="eastAsia" w:hAnsi="宋体" w:eastAsia="宋体" w:cs="宋体"/>
          <w:bCs/>
          <w:sz w:val="24"/>
          <w:szCs w:val="24"/>
          <w:lang w:val="en-US" w:eastAsia="zh-CN"/>
        </w:rPr>
        <w:t>各需新购配置</w:t>
      </w:r>
      <w:r>
        <w:rPr>
          <w:rFonts w:hint="eastAsia" w:hAnsi="宋体" w:eastAsia="宋体" w:cs="宋体"/>
          <w:b w:val="0"/>
          <w:bCs/>
          <w:sz w:val="24"/>
          <w:szCs w:val="24"/>
          <w:lang w:val="en-US" w:eastAsia="zh-CN"/>
        </w:rPr>
        <w:t>通风橱1个，通风量要求在300~500m³/h，柜体尺寸暂定为1500mm*900mm*2350mm左右，具体由招标方后续确定，非金属分析试验室需新购配置通风原子罩，通风量要求在300~400m³/h。</w:t>
      </w:r>
    </w:p>
    <w:p>
      <w:pPr>
        <w:pStyle w:val="19"/>
        <w:spacing w:line="360" w:lineRule="auto"/>
        <w:ind w:firstLine="480" w:firstLineChars="200"/>
        <w:rPr>
          <w:rFonts w:hint="eastAsia" w:hAnsi="宋体" w:eastAsia="宋体" w:cs="宋体"/>
          <w:bCs/>
          <w:sz w:val="24"/>
          <w:szCs w:val="24"/>
          <w:lang w:val="en-US" w:eastAsia="zh-CN"/>
        </w:rPr>
      </w:pPr>
      <w:r>
        <w:rPr>
          <w:rFonts w:hint="eastAsia" w:hAnsi="宋体" w:eastAsia="宋体" w:cs="宋体"/>
          <w:bCs/>
          <w:sz w:val="24"/>
          <w:szCs w:val="24"/>
          <w:lang w:val="en-US" w:eastAsia="zh-CN"/>
        </w:rPr>
        <w:t>16.9每个试验间环境排风/新风系统、设备排风/新风系统控制面板安装位置由招标方后续指定，控制面板需</w:t>
      </w:r>
      <w:r>
        <w:rPr>
          <w:rFonts w:hint="eastAsia" w:hAnsi="宋体" w:eastAsia="宋体" w:cs="宋体"/>
          <w:bCs/>
          <w:sz w:val="24"/>
          <w:szCs w:val="24"/>
        </w:rPr>
        <w:t>采用5寸24位真彩触摸屏</w:t>
      </w:r>
      <w:r>
        <w:rPr>
          <w:rFonts w:hint="eastAsia" w:hAnsi="宋体" w:eastAsia="宋体" w:cs="宋体"/>
          <w:bCs/>
          <w:sz w:val="24"/>
          <w:szCs w:val="24"/>
          <w:lang w:eastAsia="zh-CN"/>
        </w:rPr>
        <w:t>，</w:t>
      </w:r>
      <w:r>
        <w:rPr>
          <w:rFonts w:hint="eastAsia" w:hAnsi="宋体" w:eastAsia="宋体" w:cs="宋体"/>
          <w:bCs/>
          <w:sz w:val="24"/>
          <w:szCs w:val="24"/>
          <w:lang w:val="en-US" w:eastAsia="zh-CN"/>
        </w:rPr>
        <w:t>能够进行风机开关，显示风机运行状态、</w:t>
      </w:r>
      <w:r>
        <w:rPr>
          <w:rFonts w:hint="eastAsia" w:hAnsi="宋体" w:eastAsia="宋体" w:cs="宋体"/>
          <w:bCs/>
          <w:sz w:val="24"/>
          <w:szCs w:val="24"/>
        </w:rPr>
        <w:t>当前系统开启设备数量</w:t>
      </w:r>
      <w:r>
        <w:rPr>
          <w:rFonts w:hint="eastAsia" w:hAnsi="宋体" w:eastAsia="宋体" w:cs="宋体"/>
          <w:bCs/>
          <w:sz w:val="24"/>
          <w:szCs w:val="24"/>
          <w:lang w:val="en-US" w:eastAsia="zh-CN"/>
        </w:rPr>
        <w:t>以及通讯信息上传至系统控制柜，并具备熄屏功能。</w:t>
      </w:r>
    </w:p>
    <w:p>
      <w:pPr>
        <w:pStyle w:val="19"/>
        <w:spacing w:line="360" w:lineRule="auto"/>
        <w:ind w:firstLine="480" w:firstLineChars="200"/>
        <w:rPr>
          <w:rFonts w:hint="eastAsia" w:ascii="宋体" w:hAnsi="宋体" w:eastAsia="宋体" w:cs="宋体"/>
          <w:b w:val="0"/>
          <w:bCs/>
          <w:sz w:val="24"/>
          <w:szCs w:val="24"/>
          <w:lang w:val="en-US"/>
        </w:rPr>
      </w:pPr>
      <w:r>
        <w:rPr>
          <w:rFonts w:hint="eastAsia" w:ascii="宋体" w:hAnsi="宋体" w:eastAsia="宋体" w:cs="宋体"/>
          <w:b w:val="0"/>
          <w:bCs/>
          <w:sz w:val="24"/>
          <w:szCs w:val="24"/>
          <w:lang w:val="en-US"/>
        </w:rPr>
        <w:t>16.10本系统需考虑与阻燃试验室烟气处理系统、V0C各试验室中通风橱等设备通</w:t>
      </w:r>
    </w:p>
    <w:p>
      <w:pPr>
        <w:pStyle w:val="19"/>
        <w:spacing w:line="360" w:lineRule="auto"/>
        <w:ind w:firstLine="0" w:firstLineChars="0"/>
        <w:rPr>
          <w:rFonts w:hint="eastAsia" w:ascii="宋体" w:hAnsi="宋体"/>
          <w:b/>
          <w:sz w:val="28"/>
          <w:szCs w:val="24"/>
          <w:lang w:val="en-GB"/>
        </w:rPr>
      </w:pPr>
      <w:r>
        <w:rPr>
          <w:rFonts w:hint="eastAsia" w:ascii="宋体" w:hAnsi="宋体" w:eastAsia="宋体" w:cs="宋体"/>
          <w:b w:val="0"/>
          <w:bCs/>
          <w:sz w:val="24"/>
          <w:szCs w:val="24"/>
          <w:lang w:val="en-US"/>
        </w:rPr>
        <w:t>风口的接合。本系统需将风管口布置在上述各设备的上方，离地高度与天花板高度一致</w:t>
      </w:r>
      <w:r>
        <w:rPr>
          <w:rFonts w:hint="eastAsia" w:hAnsi="宋体" w:eastAsia="宋体" w:cs="宋体"/>
          <w:b w:val="0"/>
          <w:bCs/>
          <w:sz w:val="24"/>
          <w:szCs w:val="24"/>
          <w:lang w:val="en-US" w:eastAsia="zh-CN"/>
        </w:rPr>
        <w:t>并做好封堵以备设备就位后使用，风</w:t>
      </w:r>
      <w:r>
        <w:rPr>
          <w:rFonts w:hint="eastAsia" w:ascii="宋体" w:hAnsi="宋体" w:eastAsia="宋体" w:cs="宋体"/>
          <w:b w:val="0"/>
          <w:bCs/>
          <w:sz w:val="24"/>
          <w:szCs w:val="24"/>
          <w:lang w:val="en-US"/>
        </w:rPr>
        <w:t>管截面形状和尺寸需与烟气处理系统及通风橱风管尺寸一致。</w:t>
      </w:r>
      <w:r>
        <w:rPr>
          <w:rFonts w:hint="eastAsia" w:ascii="宋体" w:hAnsi="宋体"/>
          <w:b/>
          <w:sz w:val="28"/>
          <w:szCs w:val="24"/>
          <w:lang w:val="en-GB"/>
        </w:rPr>
        <w:br w:type="page"/>
      </w:r>
    </w:p>
    <w:p>
      <w:pPr>
        <w:adjustRightInd w:val="0"/>
        <w:snapToGrid w:val="0"/>
        <w:spacing w:line="360" w:lineRule="auto"/>
        <w:jc w:val="center"/>
        <w:rPr>
          <w:rFonts w:ascii="宋体" w:hAnsi="宋体"/>
          <w:b/>
          <w:sz w:val="28"/>
          <w:szCs w:val="24"/>
          <w:lang w:val="en-GB"/>
        </w:rPr>
      </w:pPr>
      <w:r>
        <w:rPr>
          <w:rFonts w:hint="eastAsia" w:ascii="宋体" w:hAnsi="宋体"/>
          <w:b/>
          <w:sz w:val="28"/>
          <w:szCs w:val="24"/>
          <w:lang w:val="en-GB"/>
        </w:rPr>
        <w:t>第三章  供货范围及供货方式</w:t>
      </w:r>
    </w:p>
    <w:p>
      <w:pPr>
        <w:pStyle w:val="3"/>
        <w:spacing w:before="120" w:after="120" w:line="360" w:lineRule="auto"/>
        <w:jc w:val="center"/>
        <w:rPr>
          <w:rFonts w:ascii="宋体" w:hAnsi="宋体" w:eastAsia="宋体"/>
          <w:b w:val="0"/>
          <w:sz w:val="24"/>
          <w:szCs w:val="24"/>
        </w:rPr>
      </w:pPr>
      <w:bookmarkStart w:id="38" w:name="_Toc9658381"/>
      <w:r>
        <w:rPr>
          <w:rFonts w:hint="eastAsia" w:ascii="宋体" w:hAnsi="宋体" w:eastAsia="宋体"/>
          <w:b w:val="0"/>
          <w:sz w:val="24"/>
          <w:szCs w:val="24"/>
        </w:rPr>
        <w:t>第一节  供货范围</w:t>
      </w:r>
      <w:bookmarkEnd w:id="38"/>
    </w:p>
    <w:p>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一、供货范围</w:t>
      </w:r>
    </w:p>
    <w:p>
      <w:pPr>
        <w:spacing w:line="360" w:lineRule="auto"/>
        <w:ind w:firstLine="241" w:firstLineChars="100"/>
        <w:rPr>
          <w:rFonts w:hint="eastAsia" w:ascii="宋体" w:hAnsi="宋体" w:eastAsia="宋体" w:cs="宋体"/>
          <w:b/>
          <w:sz w:val="24"/>
          <w:szCs w:val="24"/>
        </w:rPr>
      </w:pPr>
      <w:r>
        <w:rPr>
          <w:rFonts w:hint="eastAsia" w:ascii="宋体" w:hAnsi="宋体" w:eastAsia="宋体" w:cs="宋体"/>
          <w:b/>
          <w:sz w:val="24"/>
          <w:szCs w:val="24"/>
        </w:rPr>
        <w:t>（一）一般界定</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1、包括本技术标书所列明的主要货物及货物正常运行所必需的全套连线设备、材料等，如货物端联接法兰外端面之内的、电气系统接口压线板（插座等）之内的设备、材料、联接螺栓、垫片等。</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如果终验收完成后，投标方有需要收回的配件、附件、材料、油料等，应当在投标文件的技术偏离条款中，予以详细说明；否则视同包括在供货范围之内。</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3、包括货物维护维修所必需的专用工具。</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如投标方难以提供或无优势提供以及属于选用配置的，则应当在投标文件的技术偏离条款中，予以详细说明并注明投标报价未包含该部分的货值。</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（二）供货范围边界界定</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1、招标方提供货物所需的建筑物（如厂房等）和构筑物（如混凝土池、砼基础等），包含正常安装施工所需的预埋件（如穿管、预埋螺栓、螺母及垫片）。</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招标方提供符合本技术标书中“采购货物概况”和“使用环境”章节所列明品质的电力、自来水、压缩空气、蒸汽、天然气（或煤气）管线至系统接口，如：系统电力接口的接线端，水、气、汽等外围管线端联接法兰外端面。</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如果投标方认为能源系统接口地点以及操控地点之间的货物数量不清或难以界定，应当以书面方式询标或以单价方式报价；否则视同满足招标方要求。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3、对于招标文件中无明确具体要求而投标方认为必须具备的其它货物，投标方必须将该部分货物单独报价（该报价含运杂费及税费等其它费用，而且不再作为其它报价涉及的其它费用的计算基数）。</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4、以“交钥匙”方式采购的货物，在满足技术标书本节上述要求之外，同时包括货物正常运行、使用所需要的过桥、护栏、防护网、盖板等辅助设施。</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二、备品备件、易损件和专用耗材供货范围</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1、备品备件、易损件和专用耗材是招标方为保证货物质保期之后正常运行一年所自备自用的备品备件、易损件和专用耗材。</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三、技术资料供货范围</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技术资料供货范围包括：</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1、在合同签订后</w:t>
      </w:r>
      <w:r>
        <w:rPr>
          <w:rFonts w:hint="eastAsia" w:ascii="宋体" w:hAnsi="宋体" w:eastAsia="宋体" w:cs="宋体"/>
          <w:sz w:val="24"/>
          <w:szCs w:val="24"/>
          <w:lang w:val="en-US" w:eastAsia="zh-CN"/>
        </w:rPr>
        <w:t>60</w:t>
      </w:r>
      <w:r>
        <w:rPr>
          <w:rFonts w:hint="eastAsia" w:ascii="宋体" w:hAnsi="宋体" w:eastAsia="宋体" w:cs="宋体"/>
          <w:sz w:val="24"/>
          <w:szCs w:val="24"/>
        </w:rPr>
        <w:t>个日历日内，提供货物基础及相关的设计、制作所需的纸质及电子版资料；电子版文件应当能够使用常用版本软件可以阅读甚至使用，进口货物、设备应有中外文对照。</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3、在终验收前，提供为保证货物后续正常运行所需的工装、吊（挂）具明细及其图纸、具体技术要求等资料（如果供货范围包含该部分实物）。</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4、在终验收前，提供确定的维修所需要且招标方可以自行采购的外购件、外协件、电气元件及主要原材料的供货厂家明细表。</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5、在终验收后、终验收后的第一笔货款支付日之前，提供包括货物的备品备件、易损件和专用耗材的图纸及技术参数、技术要求等资料。</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在终验收后、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在终验收后、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8、本条款所列的技术资料、图片、影像等，投标方应各提供5套，其中2套为电子版光（软）盘；每份技术文件应装有目录清单。</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9、本条款所列要求，如招标方认为投标方提供的资料不能满足要求时，有权要求投标方免费补充或增加。</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四、供货范围特别提示</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如果投标方认为本节所列的供货范围难以满足，则仍需要按照本要求提供，但该部分货物应当在投标报价中单独列明货物名称及品质、货值。</w:t>
      </w:r>
    </w:p>
    <w:p>
      <w:pPr>
        <w:rPr>
          <w:rFonts w:hint="eastAsia" w:ascii="宋体" w:hAnsi="宋体" w:eastAsia="宋体" w:cs="宋体"/>
          <w:sz w:val="24"/>
          <w:szCs w:val="24"/>
        </w:rPr>
      </w:pPr>
      <w:r>
        <w:rPr>
          <w:rFonts w:hint="eastAsia" w:ascii="宋体" w:hAnsi="宋体" w:eastAsia="宋体" w:cs="宋体"/>
          <w:sz w:val="24"/>
          <w:szCs w:val="24"/>
        </w:rPr>
        <w:br w:type="page"/>
      </w:r>
    </w:p>
    <w:p>
      <w:pPr>
        <w:pStyle w:val="13"/>
        <w:rPr>
          <w:rFonts w:hint="eastAsia"/>
        </w:rPr>
      </w:pPr>
    </w:p>
    <w:p>
      <w:pPr>
        <w:pStyle w:val="3"/>
        <w:spacing w:before="120" w:after="120" w:line="360" w:lineRule="auto"/>
        <w:jc w:val="center"/>
        <w:rPr>
          <w:b w:val="0"/>
          <w:sz w:val="24"/>
          <w:szCs w:val="24"/>
        </w:rPr>
      </w:pPr>
      <w:bookmarkStart w:id="39" w:name="_Toc9658382"/>
      <w:r>
        <w:rPr>
          <w:rFonts w:hint="eastAsia"/>
          <w:b w:val="0"/>
          <w:sz w:val="24"/>
          <w:szCs w:val="24"/>
        </w:rPr>
        <w:t>第二节  供货方式</w:t>
      </w:r>
      <w:bookmarkEnd w:id="39"/>
    </w:p>
    <w:p>
      <w:p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一、供货方式</w:t>
      </w:r>
    </w:p>
    <w:p>
      <w:pPr>
        <w:spacing w:line="360" w:lineRule="auto"/>
        <w:ind w:firstLine="480" w:firstLineChars="200"/>
        <w:rPr>
          <w:rFonts w:hint="eastAsia"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必要的投标方现场预验收，至交货地点的运输（含定点装卸），安装，调试，招标方安装地竣工验收服务，货物移交，约定培训等全流程范围。</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二、供货地点：本项目建设工地。</w:t>
      </w:r>
    </w:p>
    <w:p>
      <w:pPr>
        <w:spacing w:line="360" w:lineRule="auto"/>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rPr>
        <w:t>三、供货时间</w:t>
      </w:r>
      <w:r>
        <w:rPr>
          <w:rFonts w:hint="eastAsia" w:ascii="宋体" w:hAnsi="宋体" w:eastAsia="宋体" w:cs="宋体"/>
          <w:sz w:val="24"/>
          <w:szCs w:val="24"/>
          <w:lang w:eastAsia="zh-CN"/>
        </w:rPr>
        <w:t>：</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1、自合同签定生效之日起，</w:t>
      </w:r>
      <w:r>
        <w:rPr>
          <w:rFonts w:hint="eastAsia" w:ascii="宋体" w:hAnsi="宋体" w:eastAsia="宋体" w:cs="宋体"/>
          <w:sz w:val="24"/>
          <w:szCs w:val="24"/>
          <w:lang w:val="en-US" w:eastAsia="zh-CN"/>
        </w:rPr>
        <w:t>3</w:t>
      </w:r>
      <w:r>
        <w:rPr>
          <w:rFonts w:hint="eastAsia" w:ascii="宋体" w:hAnsi="宋体" w:eastAsia="宋体" w:cs="宋体"/>
          <w:sz w:val="24"/>
          <w:szCs w:val="24"/>
        </w:rPr>
        <w:t>个</w:t>
      </w:r>
      <w:r>
        <w:rPr>
          <w:rFonts w:hint="eastAsia" w:ascii="宋体" w:hAnsi="宋体" w:eastAsia="宋体" w:cs="宋体"/>
          <w:sz w:val="24"/>
          <w:szCs w:val="24"/>
          <w:lang w:val="en-US" w:eastAsia="zh-CN"/>
        </w:rPr>
        <w:t>月</w:t>
      </w:r>
      <w:r>
        <w:rPr>
          <w:rFonts w:hint="eastAsia" w:ascii="宋体" w:hAnsi="宋体" w:eastAsia="宋体" w:cs="宋体"/>
          <w:sz w:val="24"/>
          <w:szCs w:val="24"/>
        </w:rPr>
        <w:t>之内交货至供货地点。</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2、接续</w:t>
      </w:r>
      <w:r>
        <w:rPr>
          <w:rFonts w:hint="eastAsia" w:ascii="宋体" w:hAnsi="宋体" w:eastAsia="宋体" w:cs="宋体"/>
          <w:sz w:val="24"/>
          <w:szCs w:val="24"/>
          <w:lang w:val="en-US" w:eastAsia="zh-CN"/>
        </w:rPr>
        <w:t>30</w:t>
      </w:r>
      <w:r>
        <w:rPr>
          <w:rFonts w:hint="eastAsia" w:ascii="宋体" w:hAnsi="宋体" w:eastAsia="宋体" w:cs="宋体"/>
          <w:sz w:val="24"/>
          <w:szCs w:val="24"/>
        </w:rPr>
        <w:t>个日历日之内安装调试完毕。</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3、终验收在</w:t>
      </w:r>
      <w:r>
        <w:rPr>
          <w:rFonts w:hint="eastAsia" w:ascii="宋体" w:hAnsi="宋体" w:eastAsia="宋体" w:cs="宋体"/>
          <w:sz w:val="24"/>
          <w:szCs w:val="24"/>
          <w:lang w:val="en-US" w:eastAsia="zh-CN"/>
        </w:rPr>
        <w:t>30</w:t>
      </w:r>
      <w:r>
        <w:rPr>
          <w:rFonts w:hint="eastAsia" w:ascii="宋体" w:hAnsi="宋体" w:eastAsia="宋体" w:cs="宋体"/>
          <w:sz w:val="24"/>
          <w:szCs w:val="24"/>
        </w:rPr>
        <w:t>个日历日之内完成（或协助完成）。</w:t>
      </w:r>
    </w:p>
    <w:p>
      <w:pPr>
        <w:spacing w:line="360" w:lineRule="auto"/>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rPr>
        <w:t>安装调试时间或终验收时间超过规定时间的，投标方应当随标书提供详细的工期计划。</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四、包装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5、每个包装件应有装箱单，并至少标明名称、型号规格、数量、净重和毛重、投标方（或供货商）名称和制造日期等相关内容。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8、包装箱应连续编号，不应出现重复编号。</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五、运输</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2、同批货物（或设备）应统一包装、编号运输。</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4、在每批货物（或设备）发出后，应立即通知招标方；通知中应指明：合同号、货运单号、件数、重量和货物（或设备）发出日期等相关内容。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pPr>
        <w:rPr>
          <w:rFonts w:ascii="黑体" w:eastAsia="黑体"/>
          <w:sz w:val="24"/>
          <w:szCs w:val="24"/>
        </w:rPr>
      </w:pPr>
      <w:bookmarkStart w:id="40" w:name="_Toc9658383"/>
      <w:r>
        <w:rPr>
          <w:rFonts w:hint="eastAsia" w:ascii="黑体" w:eastAsia="黑体"/>
          <w:sz w:val="24"/>
          <w:szCs w:val="24"/>
        </w:rPr>
        <w:br w:type="page"/>
      </w:r>
    </w:p>
    <w:p>
      <w:pPr>
        <w:pStyle w:val="2"/>
        <w:spacing w:before="120" w:after="120" w:line="360" w:lineRule="auto"/>
        <w:jc w:val="center"/>
        <w:rPr>
          <w:rFonts w:ascii="宋体" w:hAnsi="宋体" w:cs="宋体"/>
          <w:b w:val="0"/>
          <w:sz w:val="28"/>
          <w:szCs w:val="28"/>
        </w:rPr>
      </w:pPr>
      <w:r>
        <w:rPr>
          <w:rFonts w:hint="eastAsia" w:ascii="宋体" w:hAnsi="宋体" w:cs="宋体"/>
          <w:b w:val="0"/>
          <w:sz w:val="28"/>
          <w:szCs w:val="28"/>
        </w:rPr>
        <w:t>第四章  质保期及售后服务</w:t>
      </w:r>
      <w:bookmarkEnd w:id="40"/>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一、质保期及质保要求</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1、全部供货范围内的设备、材料、零配件和工器具等，除合同特别约定外，其质保期均自终验收签字生效之日起</w:t>
      </w:r>
      <w:r>
        <w:rPr>
          <w:rFonts w:hint="eastAsia" w:ascii="宋体" w:hAnsi="宋体" w:eastAsia="宋体" w:cs="宋体"/>
          <w:sz w:val="24"/>
          <w:szCs w:val="24"/>
          <w:lang w:val="en-US" w:eastAsia="zh-CN"/>
        </w:rPr>
        <w:t>12</w:t>
      </w:r>
      <w:r>
        <w:rPr>
          <w:rFonts w:hint="eastAsia" w:ascii="宋体" w:hAnsi="宋体" w:eastAsia="宋体" w:cs="宋体"/>
          <w:sz w:val="24"/>
          <w:szCs w:val="24"/>
        </w:rPr>
        <w:t>个月。</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投标货物或涉及的关键总成和零件，如果有更长时间质保期，允许更改并说明，此将有利于投标方。</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2、质保期之内，如果货物出现设备、总成、关键零部件或者多处一般零部件的二次以上的更换或维修行为，则质保期自更换或维修行为结束、货物重新正常运行使用之日起重新计算。</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3、质保期内免费提供零部件和及时有效的服务。质保期内因货物本身缺陷造成的各种故障，投标方应负责免费维修和服务。</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4、质保期终止之日起一年内重复出现的质保期之内出现的故障，仍属质保范围而且应当免费。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二、技术及培训服务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、应负责在招标方货物使用现场，对技术、维修和操作人员提供免费的理论、技术和操作、维修等方面的技术指导和培训，并接受招标方有关人员的技术咨询。培训工作日不少于</w:t>
      </w:r>
      <w:r>
        <w:rPr>
          <w:rFonts w:hint="eastAsia" w:ascii="宋体" w:hAnsi="宋体" w:eastAsia="宋体" w:cs="宋体"/>
          <w:sz w:val="24"/>
          <w:szCs w:val="24"/>
          <w:lang w:val="en-US" w:eastAsia="zh-CN"/>
        </w:rPr>
        <w:t>7</w:t>
      </w:r>
      <w:r>
        <w:rPr>
          <w:rFonts w:hint="eastAsia" w:ascii="宋体" w:hAnsi="宋体" w:eastAsia="宋体" w:cs="宋体"/>
          <w:sz w:val="24"/>
          <w:szCs w:val="24"/>
        </w:rPr>
        <w:t>个日历日。</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、应免费提供一定数量的培训资料。</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、应按要求免费积极协助和提供招标方以及招标方所委托的工程设计单位有关人员所需要的、与货物有关的工程设计资料、技术咨询等。</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、若投标方提供货物涉及到外购外协货物、而且该货物的技术质量等较为关键时，投标方应能保证得到配套厂家的技术支持，并免费为招标方提供技术服务。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三、安装调试及验收服务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2、若投标方提供的货物涉及到外购外协货物、而且该货物的技术质量等较为关键时，应保证能得到供应商的技术支持，并免费为招标方提供安装使用现场的指导与培训。</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根据货物的要求，调试及验收可分空载和负载两个阶段进行；招标方将积极协助投标方达到货物的各项技术指标和性能要求。投标方在招标方现场进行的货物的安装、调试和试运行，招标方有权参与，投标方应无条件向招标方提供现场记录和试运行数据及报告。</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投标方所提供货物需要得到招标方建设项目所在地政府或行业主管部门的查验、试验、验收时，投标方应当免费完成或协助招标方完成所需要的工作、材料和服务等。协助完成的，应当在投标文件报价内容中予以说明，否则视同免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5、投标方应当向招标方提供货物试验、验收的有关标准、规范和方法，同时提供货物涉及并使用的软件合法性证明。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6、服务缺陷视同货物缺陷和履约延期。</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四、售后服务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1、投标方提供的货物涉及的所有售后服务均由投标方负责。如果发生问题并且收到通知，投标方应当在2小时内予以答复。</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2、如发现所提供的货物存在问题，需要投标方解决或配合解决时：在质保期之内，应在接到通知后</w:t>
      </w:r>
      <w:r>
        <w:rPr>
          <w:rFonts w:hint="eastAsia" w:ascii="宋体" w:hAnsi="宋体" w:eastAsia="宋体" w:cs="宋体"/>
          <w:sz w:val="24"/>
          <w:szCs w:val="24"/>
          <w:lang w:val="en-US" w:eastAsia="zh-CN"/>
        </w:rPr>
        <w:t>24</w:t>
      </w:r>
      <w:r>
        <w:rPr>
          <w:rFonts w:hint="eastAsia" w:ascii="宋体" w:hAnsi="宋体" w:eastAsia="宋体" w:cs="宋体"/>
          <w:sz w:val="24"/>
          <w:szCs w:val="24"/>
        </w:rPr>
        <w:t>小时内派有关人员到达现场；在质保期之外，应在接到通知后</w:t>
      </w:r>
      <w:r>
        <w:rPr>
          <w:rFonts w:hint="eastAsia" w:ascii="宋体" w:hAnsi="宋体" w:eastAsia="宋体" w:cs="宋体"/>
          <w:sz w:val="24"/>
          <w:szCs w:val="24"/>
          <w:lang w:val="en-US" w:eastAsia="zh-CN"/>
        </w:rPr>
        <w:t>48</w:t>
      </w:r>
      <w:r>
        <w:rPr>
          <w:rFonts w:hint="eastAsia" w:ascii="宋体" w:hAnsi="宋体" w:eastAsia="宋体" w:cs="宋体"/>
          <w:sz w:val="24"/>
          <w:szCs w:val="24"/>
        </w:rPr>
        <w:t>小时内派有关人员到达现场。</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3、投标方派往招标方使用现场的人员，应具有较高的业务素质；现场解决问题时，不得无故拖延或推迟，应为招标方提供最佳的服务。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五、其它服务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1、若投标方所提供货物有需要进口的，投标方一般应自行、自费办理；必要时，买卖双方共同办理。</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2、除招标文件、投标文件、答疑文件、技术协议、合同等约定之外，投标方应免费负责必要的或强制性的货物的检验、试验、化验等直接费用。</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3、本章节条款所列“免费”，并非指定不可收费，而是指招标文件、投标文件、答疑文件、技术交流文件、技术协议书和合同等范围之外，投标方不可另行收取的费用。</w:t>
      </w:r>
    </w:p>
    <w:p>
      <w:pPr>
        <w:rPr>
          <w:rFonts w:ascii="黑体" w:eastAsia="黑体"/>
          <w:szCs w:val="24"/>
        </w:rPr>
      </w:pPr>
      <w:r>
        <w:rPr>
          <w:rFonts w:hint="eastAsia" w:ascii="黑体" w:eastAsia="黑体"/>
          <w:szCs w:val="24"/>
        </w:rPr>
        <w:br w:type="page"/>
      </w:r>
    </w:p>
    <w:p>
      <w:pPr>
        <w:spacing w:line="360" w:lineRule="auto"/>
        <w:jc w:val="center"/>
        <w:rPr>
          <w:rFonts w:ascii="宋体" w:hAnsi="宋体" w:cs="宋体"/>
          <w:sz w:val="28"/>
          <w:szCs w:val="36"/>
        </w:rPr>
      </w:pPr>
      <w:r>
        <w:rPr>
          <w:rFonts w:hint="eastAsia" w:ascii="宋体" w:hAnsi="宋体" w:cs="宋体"/>
          <w:sz w:val="28"/>
          <w:szCs w:val="36"/>
        </w:rPr>
        <w:t>第五章  验收</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一、验收依据和验收标准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1、验收标准一般以技术协议书和合同规定验收。无论技术协议书和合同，是否全部并准确列明验收所涉及的相关标准，均作为验收标准之一。</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2、如果验收过程中，发现招标文件、投标文件、答疑文件、技术交流文件等与技术协议书、合同存在差异，原则上以涉及条款中对招标方最有利条款为验收依据。</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二、检验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1、国产货物的检验一般由买卖双方共同进行或按照合同要求进行。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2、进口货物的检验，投标方需要按照下述要求进行：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2.1进口货物发货前，应对货物的质量、型号、规格、性能和数量/重量作精密、全面的检验，并出具证明书，证明所供货物符合合同规定。</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2.2应依据合同规定的要求，提供买卖双方达成一致的货物的验收标准和装箱单，作为招标方检验的依据。</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三、验收条件</w:t>
      </w:r>
    </w:p>
    <w:p>
      <w:pPr>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验收在安装调试完成及试运行后的招标方现场进行</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招投标</w:t>
      </w:r>
      <w:r>
        <w:rPr>
          <w:rFonts w:hint="eastAsia" w:ascii="宋体" w:hAnsi="宋体" w:eastAsia="宋体" w:cs="宋体"/>
          <w:color w:val="auto"/>
          <w:sz w:val="24"/>
          <w:szCs w:val="24"/>
        </w:rPr>
        <w:t>双方按照合同约定执行了合同，同时货物完成了试运行并经检验合格，则具备验收条件。</w:t>
      </w:r>
    </w:p>
    <w:p>
      <w:pPr>
        <w:adjustRightInd w:val="0"/>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rPr>
        <w:t>1、验收一般条件</w:t>
      </w:r>
    </w:p>
    <w:p>
      <w:pPr>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1.1投标方已经按照“供货范围”要求提供了预验收资料，并且资料齐全、完整和有效。</w:t>
      </w:r>
    </w:p>
    <w:p>
      <w:pPr>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1.2</w:t>
      </w:r>
      <w:r>
        <w:rPr>
          <w:rFonts w:hint="eastAsia" w:ascii="宋体" w:hAnsi="宋体" w:eastAsia="宋体" w:cs="宋体"/>
          <w:color w:val="auto"/>
          <w:sz w:val="24"/>
          <w:szCs w:val="24"/>
        </w:rPr>
        <w:t>货物安装调试完毕，并至少经过了验收要求的负荷试运行。</w:t>
      </w:r>
    </w:p>
    <w:p>
      <w:pPr>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1.3货物应完整且所有的零部件应该安装牢固，外观无损伤，所有的焊缝饱满、无残渣等缺陷。</w:t>
      </w:r>
    </w:p>
    <w:p>
      <w:pPr>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1.4一般情况下，所有的管路和线缆等，接头应完全正确、可靠地联接；应排列有序（正确、牢固、整齐），有必要的防护，无皱褶、收缩和裂缝等不良现象。</w:t>
      </w:r>
    </w:p>
    <w:p>
      <w:pPr>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1.5货物的润滑系统工作正常、可靠，润滑点易于到达。</w:t>
      </w:r>
    </w:p>
    <w:p>
      <w:pPr>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1.6使用的压力容器、电气等应具备合格证（如果有压力容器）。</w:t>
      </w:r>
    </w:p>
    <w:p>
      <w:pPr>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1.7货物的油漆质量应饱满、有光泽，无掉漆、无色差、无“桔皮”等不良现象（特殊标志除外）。</w:t>
      </w:r>
    </w:p>
    <w:p>
      <w:pPr>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1.8货物标牌完整、清晰、明确。</w:t>
      </w:r>
    </w:p>
    <w:p>
      <w:pPr>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1.9地线联接和地极符合国际（ISO/IEC）标准规范。</w:t>
      </w:r>
    </w:p>
    <w:p>
      <w:pPr>
        <w:adjustRightInd w:val="0"/>
        <w:snapToGrid w:val="0"/>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1.10货物的安全要求符合中国最新的相关法律、法规、标准和规范以及合同要求。</w:t>
      </w:r>
    </w:p>
    <w:p>
      <w:pPr>
        <w:numPr>
          <w:ilvl w:val="0"/>
          <w:numId w:val="14"/>
        </w:numPr>
        <w:spacing w:line="360" w:lineRule="auto"/>
        <w:ind w:firstLine="480" w:firstLineChars="200"/>
        <w:rPr>
          <w:rFonts w:hint="default" w:ascii="宋体" w:hAnsi="宋体" w:eastAsia="宋体" w:cs="宋体"/>
          <w:kern w:val="2"/>
          <w:sz w:val="24"/>
          <w:szCs w:val="24"/>
          <w:lang w:val="en-US" w:eastAsia="zh-CN" w:bidi="ar-SA"/>
        </w:rPr>
      </w:pPr>
      <w:r>
        <w:rPr>
          <w:rFonts w:hint="eastAsia" w:ascii="宋体" w:hAnsi="宋体" w:eastAsia="宋体" w:cs="宋体"/>
          <w:sz w:val="24"/>
          <w:szCs w:val="24"/>
        </w:rPr>
        <w:t>验收</w:t>
      </w:r>
      <w:r>
        <w:rPr>
          <w:rFonts w:hint="eastAsia" w:ascii="宋体" w:hAnsi="宋体" w:eastAsia="宋体" w:cs="宋体"/>
          <w:sz w:val="24"/>
          <w:szCs w:val="24"/>
          <w:lang w:val="en-US" w:eastAsia="zh-CN"/>
        </w:rPr>
        <w:t>标准</w:t>
      </w:r>
    </w:p>
    <w:p>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hAnsi="宋体" w:eastAsia="宋体" w:cs="宋体"/>
          <w:sz w:val="24"/>
          <w:szCs w:val="24"/>
          <w:lang w:val="en-US" w:eastAsia="zh-CN"/>
        </w:rPr>
      </w:pPr>
      <w:r>
        <w:rPr>
          <w:rFonts w:hint="eastAsia" w:hAnsi="宋体" w:eastAsia="宋体" w:cs="宋体"/>
          <w:sz w:val="24"/>
          <w:szCs w:val="24"/>
          <w:lang w:val="en-US" w:eastAsia="zh-CN"/>
        </w:rPr>
        <w:t>2.1</w:t>
      </w:r>
      <w:r>
        <w:rPr>
          <w:rFonts w:hint="default" w:hAnsi="宋体" w:eastAsia="宋体" w:cs="宋体"/>
          <w:sz w:val="24"/>
          <w:szCs w:val="24"/>
          <w:lang w:val="en-US" w:eastAsia="zh-CN"/>
        </w:rPr>
        <w:t>排风效果良好，</w:t>
      </w:r>
      <w:r>
        <w:rPr>
          <w:rFonts w:hint="eastAsia" w:hAnsi="宋体" w:eastAsia="宋体" w:cs="宋体"/>
          <w:sz w:val="24"/>
          <w:szCs w:val="24"/>
          <w:lang w:val="en-US" w:eastAsia="zh-CN"/>
        </w:rPr>
        <w:t>试验</w:t>
      </w:r>
      <w:r>
        <w:rPr>
          <w:rFonts w:hint="default" w:hAnsi="宋体" w:eastAsia="宋体" w:cs="宋体"/>
          <w:sz w:val="24"/>
          <w:szCs w:val="24"/>
          <w:lang w:val="en-US" w:eastAsia="zh-CN"/>
        </w:rPr>
        <w:t>室内无明显异味。</w:t>
      </w:r>
    </w:p>
    <w:p>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hAnsi="宋体" w:eastAsia="宋体" w:cs="宋体"/>
          <w:sz w:val="24"/>
          <w:szCs w:val="24"/>
          <w:lang w:val="en-US" w:eastAsia="zh-CN"/>
        </w:rPr>
      </w:pPr>
      <w:r>
        <w:rPr>
          <w:rFonts w:hint="default" w:hAnsi="宋体" w:eastAsia="宋体" w:cs="宋体"/>
          <w:sz w:val="24"/>
          <w:szCs w:val="24"/>
          <w:lang w:val="en-US" w:eastAsia="zh-CN"/>
        </w:rPr>
        <w:t>2.</w:t>
      </w:r>
      <w:r>
        <w:rPr>
          <w:rFonts w:hint="eastAsia" w:hAnsi="宋体" w:eastAsia="宋体" w:cs="宋体"/>
          <w:sz w:val="24"/>
          <w:szCs w:val="24"/>
          <w:lang w:val="en-US" w:eastAsia="zh-CN"/>
        </w:rPr>
        <w:t>2</w:t>
      </w:r>
      <w:r>
        <w:rPr>
          <w:rFonts w:hint="default" w:hAnsi="宋体" w:eastAsia="宋体" w:cs="宋体"/>
          <w:sz w:val="24"/>
          <w:szCs w:val="24"/>
          <w:lang w:val="en-US" w:eastAsia="zh-CN"/>
        </w:rPr>
        <w:t>系统全开，</w:t>
      </w:r>
      <w:r>
        <w:rPr>
          <w:rFonts w:hint="eastAsia" w:hAnsi="宋体" w:eastAsia="宋体" w:cs="宋体"/>
          <w:sz w:val="24"/>
          <w:szCs w:val="24"/>
          <w:lang w:val="en-US" w:eastAsia="zh-CN"/>
        </w:rPr>
        <w:t>试验</w:t>
      </w:r>
      <w:r>
        <w:rPr>
          <w:rFonts w:hint="default" w:hAnsi="宋体" w:eastAsia="宋体" w:cs="宋体"/>
          <w:sz w:val="24"/>
          <w:szCs w:val="24"/>
          <w:lang w:val="en-US" w:eastAsia="zh-CN"/>
        </w:rPr>
        <w:t>室内噪音小于50dB。</w:t>
      </w:r>
    </w:p>
    <w:p>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sz w:val="24"/>
          <w:szCs w:val="24"/>
        </w:rPr>
      </w:pPr>
      <w:r>
        <w:rPr>
          <w:rFonts w:hint="eastAsia" w:hAnsi="宋体" w:eastAsia="宋体" w:cs="宋体"/>
          <w:sz w:val="24"/>
          <w:szCs w:val="24"/>
          <w:lang w:val="en-US" w:eastAsia="zh-CN"/>
        </w:rPr>
        <w:t>2.3</w:t>
      </w:r>
      <w:r>
        <w:rPr>
          <w:rFonts w:hint="eastAsia" w:hAnsi="宋体" w:eastAsia="宋体" w:cs="宋体"/>
          <w:sz w:val="24"/>
          <w:szCs w:val="24"/>
        </w:rPr>
        <w:t>烟气连通运行时，货物应接受环保局或者具备相关资质的第三方进行进行环保检测，检测结果达到环保批复、法规等技术要求，具体参照前述所执行环保标准。同时噪声等环境影响因素满足国家和当地环保主管部门规定，安全措施落实、有效。</w:t>
      </w:r>
    </w:p>
    <w:p>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sz w:val="24"/>
          <w:szCs w:val="24"/>
        </w:rPr>
      </w:pPr>
      <w:r>
        <w:rPr>
          <w:rFonts w:hint="eastAsia" w:hAnsi="宋体" w:eastAsia="宋体" w:cs="宋体"/>
          <w:sz w:val="24"/>
          <w:szCs w:val="24"/>
        </w:rPr>
        <w:t>2.</w:t>
      </w:r>
      <w:r>
        <w:rPr>
          <w:rFonts w:hint="eastAsia" w:hAnsi="宋体" w:eastAsia="宋体" w:cs="宋体"/>
          <w:sz w:val="24"/>
          <w:szCs w:val="24"/>
          <w:lang w:val="en-US" w:eastAsia="zh-CN"/>
        </w:rPr>
        <w:t>4</w:t>
      </w:r>
      <w:r>
        <w:rPr>
          <w:rFonts w:hint="eastAsia" w:hAnsi="宋体" w:eastAsia="宋体" w:cs="宋体"/>
          <w:sz w:val="24"/>
          <w:szCs w:val="24"/>
        </w:rPr>
        <w:t>所配备的传感器等计量仪器、仪表配套合理，采用中国的法定计量单位，计量准确、灵敏可靠，能够实现预期的技术要求。</w:t>
      </w:r>
    </w:p>
    <w:p>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sz w:val="24"/>
          <w:szCs w:val="24"/>
        </w:rPr>
      </w:pPr>
      <w:r>
        <w:rPr>
          <w:rFonts w:hint="eastAsia" w:hAnsi="宋体" w:eastAsia="宋体" w:cs="宋体"/>
          <w:sz w:val="24"/>
          <w:szCs w:val="24"/>
        </w:rPr>
        <w:t>2.</w:t>
      </w:r>
      <w:r>
        <w:rPr>
          <w:rFonts w:hint="eastAsia" w:hAnsi="宋体" w:eastAsia="宋体" w:cs="宋体"/>
          <w:sz w:val="24"/>
          <w:szCs w:val="24"/>
          <w:lang w:val="en-US" w:eastAsia="zh-CN"/>
        </w:rPr>
        <w:t>5</w:t>
      </w:r>
      <w:r>
        <w:rPr>
          <w:rFonts w:hint="eastAsia" w:hAnsi="宋体" w:eastAsia="宋体" w:cs="宋体"/>
          <w:sz w:val="24"/>
          <w:szCs w:val="24"/>
        </w:rPr>
        <w:t>控制系统运行稳定可靠，能够实现前述远程控制、状态监测、故障报警等功能。</w:t>
      </w:r>
    </w:p>
    <w:p>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sz w:val="24"/>
          <w:szCs w:val="24"/>
        </w:rPr>
      </w:pPr>
      <w:r>
        <w:rPr>
          <w:rFonts w:hint="eastAsia" w:hAnsi="宋体" w:eastAsia="宋体" w:cs="宋体"/>
          <w:sz w:val="24"/>
          <w:szCs w:val="24"/>
        </w:rPr>
        <w:t>2.</w:t>
      </w:r>
      <w:r>
        <w:rPr>
          <w:rFonts w:hint="eastAsia" w:hAnsi="宋体" w:eastAsia="宋体" w:cs="宋体"/>
          <w:sz w:val="24"/>
          <w:szCs w:val="24"/>
          <w:lang w:val="en-US" w:eastAsia="zh-CN"/>
        </w:rPr>
        <w:t>6</w:t>
      </w:r>
      <w:r>
        <w:rPr>
          <w:rFonts w:hint="eastAsia" w:hAnsi="宋体" w:eastAsia="宋体" w:cs="宋体"/>
          <w:sz w:val="24"/>
          <w:szCs w:val="24"/>
        </w:rPr>
        <w:t>试运行期间或之后无维修、调整等行为（特殊情况除外）</w:t>
      </w:r>
    </w:p>
    <w:p>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sz w:val="24"/>
          <w:szCs w:val="24"/>
        </w:rPr>
      </w:pPr>
      <w:r>
        <w:rPr>
          <w:rFonts w:hint="eastAsia" w:hAnsi="宋体" w:eastAsia="宋体" w:cs="宋体"/>
          <w:sz w:val="24"/>
          <w:szCs w:val="24"/>
        </w:rPr>
        <w:t>2.</w:t>
      </w:r>
      <w:r>
        <w:rPr>
          <w:rFonts w:hint="eastAsia" w:hAnsi="宋体" w:eastAsia="宋体" w:cs="宋体"/>
          <w:sz w:val="24"/>
          <w:szCs w:val="24"/>
          <w:lang w:val="en-US" w:eastAsia="zh-CN"/>
        </w:rPr>
        <w:t>7</w:t>
      </w:r>
      <w:r>
        <w:rPr>
          <w:rFonts w:hint="eastAsia" w:hAnsi="宋体" w:eastAsia="宋体" w:cs="宋体"/>
          <w:sz w:val="24"/>
          <w:szCs w:val="24"/>
        </w:rPr>
        <w:t>验收原则上要求一次完成。若一次验收不成功，最多允许两次；如果出现第三次验收失败，重新作价或退货；</w:t>
      </w:r>
    </w:p>
    <w:p>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hAnsi="宋体" w:eastAsia="宋体" w:cs="宋体"/>
          <w:sz w:val="24"/>
          <w:szCs w:val="24"/>
          <w:lang w:val="en-US" w:eastAsia="zh-CN"/>
        </w:rPr>
      </w:pPr>
      <w:r>
        <w:rPr>
          <w:rFonts w:hint="eastAsia" w:hAnsi="宋体" w:eastAsia="宋体" w:cs="宋体"/>
          <w:sz w:val="24"/>
          <w:szCs w:val="24"/>
        </w:rPr>
        <w:t>2.</w:t>
      </w:r>
      <w:r>
        <w:rPr>
          <w:rFonts w:hint="eastAsia" w:hAnsi="宋体" w:eastAsia="宋体" w:cs="宋体"/>
          <w:sz w:val="24"/>
          <w:szCs w:val="24"/>
          <w:lang w:val="en-US" w:eastAsia="zh-CN"/>
        </w:rPr>
        <w:t>8</w:t>
      </w:r>
      <w:r>
        <w:rPr>
          <w:rFonts w:hint="eastAsia" w:hAnsi="宋体" w:eastAsia="宋体" w:cs="宋体"/>
          <w:sz w:val="24"/>
          <w:szCs w:val="24"/>
        </w:rPr>
        <w:t>验收通过后买卖双方共同签署验收报告，并移交、核对全部供货范围内物品</w:t>
      </w:r>
    </w:p>
    <w:p>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hAnsi="宋体" w:eastAsia="宋体" w:cs="宋体"/>
          <w:sz w:val="24"/>
          <w:szCs w:val="24"/>
          <w:lang w:val="en-US" w:eastAsia="zh-CN"/>
        </w:rPr>
      </w:pPr>
      <w:r>
        <w:rPr>
          <w:rFonts w:hint="eastAsia" w:hAnsi="宋体" w:eastAsia="宋体" w:cs="宋体"/>
          <w:sz w:val="24"/>
          <w:szCs w:val="24"/>
          <w:lang w:val="en-US" w:eastAsia="zh-CN"/>
        </w:rPr>
        <w:t>2.9试验室</w:t>
      </w:r>
      <w:r>
        <w:rPr>
          <w:rFonts w:hint="default" w:hAnsi="宋体" w:eastAsia="宋体" w:cs="宋体"/>
          <w:sz w:val="24"/>
          <w:szCs w:val="24"/>
          <w:lang w:val="en-US" w:eastAsia="zh-CN"/>
        </w:rPr>
        <w:t>系统全部运行半小时后，</w:t>
      </w:r>
      <w:r>
        <w:rPr>
          <w:rFonts w:hint="eastAsia" w:hAnsi="宋体" w:eastAsia="宋体" w:cs="宋体"/>
          <w:sz w:val="24"/>
          <w:szCs w:val="24"/>
          <w:lang w:val="en-US" w:eastAsia="zh-CN"/>
        </w:rPr>
        <w:t>试验室</w:t>
      </w:r>
      <w:r>
        <w:rPr>
          <w:rFonts w:hint="default" w:hAnsi="宋体" w:eastAsia="宋体" w:cs="宋体"/>
          <w:sz w:val="24"/>
          <w:szCs w:val="24"/>
          <w:lang w:val="en-US" w:eastAsia="zh-CN"/>
        </w:rPr>
        <w:t>内温度无变化，</w:t>
      </w:r>
      <w:r>
        <w:rPr>
          <w:rFonts w:hint="eastAsia" w:hAnsi="宋体" w:eastAsia="宋体" w:cs="宋体"/>
          <w:sz w:val="24"/>
          <w:szCs w:val="24"/>
          <w:lang w:val="en-US" w:eastAsia="zh-CN"/>
        </w:rPr>
        <w:t>试验室</w:t>
      </w:r>
      <w:r>
        <w:rPr>
          <w:rFonts w:hint="default" w:hAnsi="宋体" w:eastAsia="宋体" w:cs="宋体"/>
          <w:sz w:val="24"/>
          <w:szCs w:val="24"/>
          <w:lang w:val="en-US" w:eastAsia="zh-CN"/>
        </w:rPr>
        <w:t>内温度（夏季≤26℃、冬季≥22℃</w:t>
      </w:r>
    </w:p>
    <w:p>
      <w:pPr>
        <w:rPr>
          <w:rFonts w:ascii="黑体" w:eastAsia="黑体"/>
          <w:sz w:val="24"/>
          <w:szCs w:val="24"/>
        </w:rPr>
      </w:pPr>
      <w:bookmarkStart w:id="41" w:name="_Toc9658384"/>
      <w:r>
        <w:rPr>
          <w:rFonts w:hint="eastAsia" w:ascii="黑体" w:eastAsia="黑体"/>
          <w:sz w:val="24"/>
          <w:szCs w:val="24"/>
        </w:rPr>
        <w:br w:type="page"/>
      </w:r>
    </w:p>
    <w:p>
      <w:pPr>
        <w:pStyle w:val="2"/>
        <w:spacing w:before="120" w:after="120" w:line="360" w:lineRule="auto"/>
        <w:jc w:val="center"/>
        <w:rPr>
          <w:rFonts w:ascii="宋体" w:hAnsi="宋体" w:cs="宋体"/>
          <w:b w:val="0"/>
          <w:sz w:val="28"/>
          <w:szCs w:val="28"/>
        </w:rPr>
      </w:pPr>
      <w:r>
        <w:rPr>
          <w:rFonts w:hint="eastAsia" w:ascii="宋体" w:hAnsi="宋体" w:cs="宋体"/>
          <w:b w:val="0"/>
          <w:sz w:val="28"/>
          <w:szCs w:val="28"/>
        </w:rPr>
        <w:t>第六章  投标技术文件一般要求</w:t>
      </w:r>
      <w:bookmarkEnd w:id="41"/>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一、技术文件一般内容要求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1、投标方应认真阅读招标文件和本技术标书，并按要求编写投标技术文件。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4、投标技术文件至少应按照招标文件要求（或投标方建议）列明备品备件、易损件和专用耗材明细。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5、投标方应当而且必须分别说明所列备品备件、易损件和专用耗材的使用寿命（以有效工作小时数说明）。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pPr>
        <w:adjustRightInd w:val="0"/>
        <w:snapToGrid w:val="0"/>
        <w:spacing w:line="360" w:lineRule="auto"/>
        <w:ind w:firstLine="480" w:firstLineChars="200"/>
        <w:rPr>
          <w:rFonts w:hint="eastAsia" w:ascii="宋体" w:hAnsi="宋体" w:eastAsia="宋体" w:cs="宋体"/>
          <w:sz w:val="24"/>
          <w:szCs w:val="24"/>
          <w:highlight w:val="green"/>
        </w:rPr>
      </w:pPr>
      <w:r>
        <w:rPr>
          <w:rFonts w:hint="eastAsia" w:ascii="宋体" w:hAnsi="宋体" w:eastAsia="宋体" w:cs="宋体"/>
          <w:sz w:val="24"/>
          <w:szCs w:val="24"/>
        </w:rPr>
        <w:t>6.1</w:t>
      </w:r>
      <w:r>
        <w:rPr>
          <w:rFonts w:hint="eastAsia" w:ascii="宋体" w:hAnsi="宋体" w:eastAsia="宋体" w:cs="宋体"/>
          <w:sz w:val="24"/>
          <w:szCs w:val="24"/>
          <w:highlight w:val="green"/>
        </w:rPr>
        <w:t>投标货物配置一览表：</w:t>
      </w:r>
    </w:p>
    <w:p>
      <w:pPr>
        <w:adjustRightInd w:val="0"/>
        <w:snapToGrid w:val="0"/>
        <w:spacing w:line="360" w:lineRule="auto"/>
        <w:ind w:firstLine="2160" w:firstLineChars="900"/>
        <w:rPr>
          <w:rFonts w:hint="eastAsia" w:ascii="宋体" w:hAnsi="宋体" w:eastAsia="宋体" w:cs="宋体"/>
          <w:sz w:val="24"/>
          <w:szCs w:val="24"/>
        </w:rPr>
      </w:pPr>
      <w:r>
        <w:rPr>
          <w:rFonts w:hint="eastAsia" w:ascii="宋体" w:hAnsi="宋体" w:eastAsia="宋体" w:cs="宋体"/>
          <w:sz w:val="24"/>
          <w:szCs w:val="24"/>
        </w:rPr>
        <w:t>投标货物配置一览表          单位：元</w:t>
      </w:r>
    </w:p>
    <w:tbl>
      <w:tblPr>
        <w:tblStyle w:val="3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1924"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名称</w:t>
            </w:r>
          </w:p>
        </w:tc>
        <w:tc>
          <w:tcPr>
            <w:tcW w:w="123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型号规格</w:t>
            </w: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单位</w:t>
            </w: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数量</w:t>
            </w: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单价</w:t>
            </w: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总价</w:t>
            </w:r>
          </w:p>
        </w:tc>
        <w:tc>
          <w:tcPr>
            <w:tcW w:w="2235"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1924"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123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2235"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1924"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123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2235"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1924"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123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2235"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1924"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123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2235"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r>
    </w:tbl>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 备品备件、易损件和专用耗材明细表：</w:t>
      </w:r>
    </w:p>
    <w:p>
      <w:pPr>
        <w:adjustRightInd w:val="0"/>
        <w:snapToGrid w:val="0"/>
        <w:spacing w:line="360" w:lineRule="auto"/>
        <w:ind w:firstLine="2160" w:firstLineChars="900"/>
        <w:rPr>
          <w:rFonts w:hint="eastAsia" w:ascii="宋体" w:hAnsi="宋体" w:eastAsia="宋体" w:cs="宋体"/>
          <w:sz w:val="24"/>
          <w:szCs w:val="24"/>
        </w:rPr>
      </w:pPr>
      <w:r>
        <w:rPr>
          <w:rFonts w:hint="eastAsia" w:ascii="宋体" w:hAnsi="宋体" w:eastAsia="宋体" w:cs="宋体"/>
          <w:sz w:val="24"/>
          <w:szCs w:val="24"/>
        </w:rPr>
        <w:t>备品备件、易损件和专用耗材明细表             单位：元</w:t>
      </w:r>
    </w:p>
    <w:tbl>
      <w:tblPr>
        <w:tblStyle w:val="3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1924"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名称</w:t>
            </w:r>
          </w:p>
        </w:tc>
        <w:tc>
          <w:tcPr>
            <w:tcW w:w="123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型号规格</w:t>
            </w: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单位</w:t>
            </w: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数量</w:t>
            </w: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单价</w:t>
            </w: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总价</w:t>
            </w:r>
          </w:p>
        </w:tc>
        <w:tc>
          <w:tcPr>
            <w:tcW w:w="2235"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1924"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123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2235"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1924"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123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2235"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1924"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123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2235"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1924"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123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2235"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1924"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1236"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720"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jc w:val="center"/>
              <w:rPr>
                <w:rFonts w:hint="eastAsia" w:ascii="宋体" w:hAnsi="宋体" w:eastAsia="宋体" w:cs="宋体"/>
                <w:sz w:val="24"/>
                <w:szCs w:val="24"/>
              </w:rPr>
            </w:pPr>
          </w:p>
        </w:tc>
        <w:tc>
          <w:tcPr>
            <w:tcW w:w="2235" w:type="dxa"/>
            <w:tcBorders>
              <w:top w:val="single" w:color="auto" w:sz="4" w:space="0"/>
              <w:left w:val="single" w:color="auto" w:sz="4" w:space="0"/>
              <w:bottom w:val="single" w:color="auto" w:sz="4" w:space="0"/>
              <w:right w:val="single" w:color="auto" w:sz="4" w:space="0"/>
              <w:tl2br w:val="nil"/>
              <w:tr2bl w:val="nil"/>
            </w:tcBorders>
          </w:tcPr>
          <w:p>
            <w:pPr>
              <w:adjustRightInd w:val="0"/>
              <w:snapToGrid w:val="0"/>
              <w:spacing w:line="360" w:lineRule="auto"/>
              <w:rPr>
                <w:rFonts w:hint="eastAsia" w:ascii="宋体" w:hAnsi="宋体" w:eastAsia="宋体" w:cs="宋体"/>
                <w:sz w:val="24"/>
                <w:szCs w:val="24"/>
              </w:rPr>
            </w:pPr>
          </w:p>
        </w:tc>
      </w:tr>
    </w:tbl>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 “一览表”和“明细表”仅作为投标方编制投标技术文件的一般格式。其中序号编写应当便于招标方了解分类或分项货物之间的所属关系，如1、1.1、1.2。</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6.4 应当尽可能将货物的配置列全、列细，这将有助于投标方胜出。</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6.5 单价与总价之间、总价与分类小计价之间、分类小计价与合计价之间数据应当齐全而且准确。</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6.6 本条款表格中的制造商，应当为全称或公认的简称。</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二、技术文件中货物报价格式要求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1、货物配置一览表合计价以及备品备件、易损件和专用耗材明细表合计价应当在投标总报价内对应重现而且应当数据准确。</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其中，质保期之内需要的备品备件、易损件和专用耗材，需要在配置一览表内单独分类列出并计入货物配置一览表合计价。</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3、如果投标总报价与其它价格出现错误或不一致，将有可能导致废标。</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4、投标总报价为自合同签定生效至合同无异议执行完毕涉及的招标方需要支付的全部费用。如投标方认为本招标及投标货物涉及特需或专门的设计，应当单独列明设计费。</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5、备品备件、易损件和专用耗材，招标方将可能与投标方按照投标价格另行签署供货合同。</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6、要求投标总报价、分项报价、明细报价之间应当具有相互间对应关系以及填报分项和明细报价，仅为便于评标而不妨碍投标人以最合适的形式签署合同。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三、验收标准及内容要求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除招标文件明确的验收标准或内容之外，投标方应当在投标文件中提供预验收（必要时）和终验收的标准以及规程；在合同签定之前，经投标方和招标方双方洽谈确认并签署，以作为验收标准执行。</w:t>
      </w:r>
    </w:p>
    <w:p>
      <w:pPr>
        <w:rPr>
          <w:rFonts w:ascii="黑体" w:eastAsia="黑体"/>
          <w:sz w:val="24"/>
          <w:szCs w:val="24"/>
        </w:rPr>
      </w:pPr>
      <w:bookmarkStart w:id="42" w:name="_Toc9658385"/>
      <w:r>
        <w:rPr>
          <w:rFonts w:hint="eastAsia" w:ascii="黑体" w:eastAsia="黑体"/>
          <w:sz w:val="24"/>
          <w:szCs w:val="24"/>
        </w:rPr>
        <w:br w:type="page"/>
      </w:r>
    </w:p>
    <w:p>
      <w:pPr>
        <w:pStyle w:val="2"/>
        <w:spacing w:before="120" w:after="120" w:line="360" w:lineRule="auto"/>
        <w:jc w:val="center"/>
        <w:rPr>
          <w:rFonts w:ascii="宋体" w:hAnsi="宋体" w:cs="宋体"/>
          <w:b w:val="0"/>
          <w:sz w:val="28"/>
          <w:szCs w:val="28"/>
        </w:rPr>
      </w:pPr>
      <w:r>
        <w:rPr>
          <w:rFonts w:hint="eastAsia" w:ascii="宋体" w:hAnsi="宋体" w:cs="宋体"/>
          <w:b w:val="0"/>
          <w:sz w:val="28"/>
          <w:szCs w:val="28"/>
        </w:rPr>
        <w:t>第七章  其它要求及说明</w:t>
      </w:r>
      <w:bookmarkEnd w:id="42"/>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一、要求</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为保证本技术标书所列采购货物的质量以及先进性、可靠性、经济性和实用性，要求投标方在投标文件中，至少应具备以下资格证明文件或资料：</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1、投标方应是独立法人或得到法人授权的机构。应当在投标文件中提供法人营业执照（复印件）、税务登记证以及组织机构代码证（国外供应商参考该要求提供有效证明文件）、相关类似案例的合同原始证明（采用天然气/柴油加热方式）、相关案例的验收检测报告，并保证其真实性和有效性。</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2、投标方应当是通过有关资格认证的法人。应当在投标文件中提供有效期内的资格认证证书，如：ISO9001、VDA6.1、QS9000等。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3、国产设备应附有采购货物（或设备）涉及的由“中国质量认证中心”颁发的《中国国家强制性产品认证证书》（CCC证书）。</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4、应附有其它与投标单位、采购货物有关的荣誉证书或资料。</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5、必须附有投标货物涉及产品要求的、国家或行业管理规定要求的、或者投标方认为能够体现其投标货物合法性及先进性的最高级别的证明材料（投标货物不涉及的除外）：</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5.1国家相关机构颁发的有效期之内所必需的《生产许可证》。</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5.3产品相关检验、试验报告，如：型式试验检验报告、安全试验检验报告、电弧效应试验报告、噪声检测报告等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5.5该类报告或证明材料对于投标方胜出乃至中标极为重要！</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二、说明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1、投标方可以根据自身的技术、经验等优势以及对招标文件和本技术标书的理解，写明对招标方所采购货物的优化方案或建议意见。投标方的这些努力，投标方表示感谢，并将有助于投标方优先胜出。</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2、即使有建议意见或建议方案，仍应依据招标文件和本技术标书要求，编写符合要求的投标文件。建议方案或建议意见，应以单独篇章或文件，予以说明和报价。</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3、请投标方仔细阅读“采购货物概况”章节内说明，针对允许分投分中的货物，招标方有权利选择其中优秀设备或服务，作为投标方合同供货范围中的指定选用设备或服务（替代投标方分投而未中标部分）。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4、招标文件、投标文件、答疑文件、技术交流文件、技术协议书等，在采购过程全部为有效文件，如有差异，以对招标方最有利的条款为准。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5、为避免歧异，本技术标书涉及招投标环节的条款，均将潜在的卖方称为投标方、将买方称为招标方；定标后合同签署环节以及后续的合同执行环节条款，招标方称为买方、投标方中的中标方称为卖方。</w:t>
      </w:r>
    </w:p>
    <w:p>
      <w:pPr>
        <w:rPr>
          <w:rFonts w:hint="eastAsia" w:ascii="Calibri" w:hAnsi="Calibri" w:eastAsia="宋体" w:cs="Times New Roman"/>
          <w:b/>
          <w:bCs/>
          <w:kern w:val="44"/>
          <w:sz w:val="28"/>
          <w:szCs w:val="28"/>
        </w:rPr>
      </w:pPr>
      <w:r>
        <w:rPr>
          <w:rFonts w:hint="eastAsia" w:ascii="Calibri" w:hAnsi="Calibri" w:eastAsia="宋体" w:cs="Times New Roman"/>
          <w:b/>
          <w:bCs/>
          <w:kern w:val="44"/>
          <w:sz w:val="28"/>
          <w:szCs w:val="28"/>
        </w:rPr>
        <w:br w:type="page"/>
      </w:r>
    </w:p>
    <w:bookmarkEnd w:id="34"/>
    <w:p>
      <w:pPr>
        <w:pStyle w:val="19"/>
      </w:pPr>
    </w:p>
    <w:p>
      <w:pPr>
        <w:spacing w:line="360" w:lineRule="auto"/>
        <w:jc w:val="center"/>
        <w:outlineLvl w:val="0"/>
        <w:rPr>
          <w:rFonts w:ascii="宋体" w:hAnsi="Calibri" w:eastAsia="宋体" w:cs="Times New Roman"/>
          <w:b/>
          <w:sz w:val="36"/>
          <w:szCs w:val="36"/>
        </w:rPr>
      </w:pPr>
      <w:bookmarkStart w:id="43" w:name="_Toc6642"/>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五</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3"/>
    </w:p>
    <w:p>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hint="eastAsia" w:ascii="方正小标宋简体" w:hAnsi="宋体" w:eastAsia="方正小标宋简体"/>
          <w:bCs/>
          <w:sz w:val="52"/>
          <w:szCs w:val="36"/>
          <w:lang w:eastAsia="zh-CN"/>
        </w:rPr>
      </w:pPr>
      <w:r>
        <w:rPr>
          <w:rFonts w:hint="eastAsia" w:ascii="方正小标宋简体" w:hAnsi="宋体" w:eastAsia="方正小标宋简体"/>
          <w:bCs/>
          <w:sz w:val="52"/>
          <w:szCs w:val="36"/>
        </w:rPr>
        <w:t>设备采购合同</w:t>
      </w:r>
      <w:r>
        <w:rPr>
          <w:rFonts w:hint="eastAsia" w:ascii="方正小标宋简体" w:hAnsi="宋体" w:eastAsia="方正小标宋简体"/>
          <w:bCs/>
          <w:sz w:val="52"/>
          <w:szCs w:val="36"/>
          <w:lang w:eastAsia="zh-CN"/>
        </w:rPr>
        <w:t>（</w:t>
      </w:r>
      <w:r>
        <w:rPr>
          <w:rFonts w:hint="eastAsia" w:ascii="方正小标宋简体" w:hAnsi="宋体" w:eastAsia="方正小标宋简体"/>
          <w:bCs/>
          <w:sz w:val="52"/>
          <w:szCs w:val="36"/>
          <w:lang w:val="en-US" w:eastAsia="zh-CN"/>
        </w:rPr>
        <w:t>模板</w:t>
      </w:r>
      <w:r>
        <w:rPr>
          <w:rFonts w:hint="eastAsia" w:ascii="方正小标宋简体" w:hAnsi="宋体" w:eastAsia="方正小标宋简体"/>
          <w:bCs/>
          <w:sz w:val="52"/>
          <w:szCs w:val="36"/>
          <w:lang w:eastAsia="zh-CN"/>
        </w:rPr>
        <w:t>）</w:t>
      </w:r>
    </w:p>
    <w:p>
      <w:pPr>
        <w:pStyle w:val="19"/>
        <w:jc w:val="center"/>
      </w:pPr>
      <w:r>
        <w:rPr>
          <w:rFonts w:hint="eastAsia" w:hAnsi="宋体" w:eastAsia="宋体" w:cs="宋体"/>
          <w:b/>
          <w:sz w:val="24"/>
          <w:szCs w:val="24"/>
          <w:highlight w:val="yellow"/>
          <w:lang w:val="en-US" w:eastAsia="zh-CN"/>
        </w:rPr>
        <w:t>（</w:t>
      </w:r>
      <w:r>
        <w:rPr>
          <w:rFonts w:hint="eastAsia" w:ascii="宋体" w:hAnsi="宋体" w:eastAsia="宋体" w:cs="宋体"/>
          <w:b/>
          <w:sz w:val="24"/>
          <w:szCs w:val="24"/>
          <w:highlight w:val="yellow"/>
          <w:lang w:val="en-US" w:eastAsia="zh-CN"/>
        </w:rPr>
        <w:t>合同以双方最终签署的版本为准</w:t>
      </w:r>
      <w:r>
        <w:rPr>
          <w:rFonts w:hint="eastAsia" w:hAnsi="宋体" w:eastAsia="宋体" w:cs="宋体"/>
          <w:b/>
          <w:sz w:val="24"/>
          <w:szCs w:val="24"/>
          <w:highlight w:val="yellow"/>
          <w:lang w:val="en-US" w:eastAsia="zh-CN"/>
        </w:rPr>
        <w:t>）</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Pr>
        <w:spacing w:line="360" w:lineRule="auto"/>
        <w:ind w:right="480"/>
        <w:rPr>
          <w:rFonts w:ascii="宋体" w:hAnsi="宋体" w:cs="宋体"/>
          <w:bCs/>
          <w:sz w:val="22"/>
        </w:rPr>
        <w:sectPr>
          <w:headerReference r:id="rId10" w:type="default"/>
          <w:footerReference r:id="rId11" w:type="default"/>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本设备采购合同由甲乙双方于山东省济南市（可根据实际情况调整）签订：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44" w:name="_Toc11823"/>
      <w:bookmarkStart w:id="45" w:name="_Toc9465"/>
      <w:bookmarkStart w:id="46" w:name="_Toc11930"/>
      <w:bookmarkStart w:id="47" w:name="_Toc17619"/>
      <w:bookmarkStart w:id="48" w:name="_Toc16330018"/>
      <w:r>
        <w:rPr>
          <w:rFonts w:hint="eastAsia" w:ascii="黑体" w:hAnsi="黑体" w:eastAsia="黑体" w:cstheme="minorEastAsia"/>
          <w:b w:val="0"/>
          <w:sz w:val="28"/>
          <w:szCs w:val="28"/>
        </w:rPr>
        <w:t>1 合同设备</w:t>
      </w:r>
      <w:bookmarkEnd w:id="44"/>
      <w:bookmarkEnd w:id="45"/>
      <w:bookmarkEnd w:id="46"/>
      <w:bookmarkEnd w:id="47"/>
      <w:bookmarkEnd w:id="4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49" w:name="_Toc32510"/>
      <w:bookmarkStart w:id="50" w:name="_Toc22800"/>
      <w:bookmarkStart w:id="51" w:name="_Toc29026"/>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52" w:name="_Toc16330019"/>
      <w:bookmarkStart w:id="53" w:name="_Toc7716"/>
      <w:r>
        <w:rPr>
          <w:rFonts w:hint="eastAsia" w:ascii="黑体" w:hAnsi="黑体" w:eastAsia="黑体" w:cstheme="minorEastAsia"/>
          <w:b w:val="0"/>
          <w:sz w:val="28"/>
          <w:szCs w:val="28"/>
        </w:rPr>
        <w:t>2 包装</w:t>
      </w:r>
      <w:bookmarkEnd w:id="49"/>
      <w:bookmarkEnd w:id="50"/>
      <w:bookmarkEnd w:id="51"/>
      <w:bookmarkEnd w:id="52"/>
      <w:bookmarkEnd w:id="5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54" w:name="_Toc16330020"/>
      <w:bookmarkStart w:id="55" w:name="_Toc27144"/>
      <w:bookmarkStart w:id="56" w:name="_Toc27453"/>
      <w:bookmarkStart w:id="57" w:name="_Toc2833"/>
      <w:bookmarkStart w:id="58" w:name="_Toc30507"/>
      <w:r>
        <w:rPr>
          <w:rFonts w:hint="eastAsia" w:ascii="黑体" w:hAnsi="黑体" w:eastAsia="黑体" w:cstheme="minorEastAsia"/>
          <w:b w:val="0"/>
          <w:sz w:val="28"/>
          <w:szCs w:val="28"/>
        </w:rPr>
        <w:t>3 运输标记</w:t>
      </w:r>
      <w:bookmarkEnd w:id="54"/>
      <w:bookmarkEnd w:id="55"/>
      <w:bookmarkEnd w:id="56"/>
      <w:bookmarkEnd w:id="57"/>
      <w:bookmarkEnd w:id="5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59" w:name="_Toc16133"/>
      <w:bookmarkStart w:id="60" w:name="_Toc16330021"/>
      <w:bookmarkStart w:id="61" w:name="_Toc8624"/>
      <w:bookmarkStart w:id="62" w:name="_Toc7431"/>
      <w:bookmarkStart w:id="63" w:name="_Toc10630"/>
      <w:r>
        <w:rPr>
          <w:rFonts w:hint="eastAsia" w:ascii="黑体" w:hAnsi="黑体" w:eastAsia="黑体" w:cstheme="minorEastAsia"/>
          <w:b w:val="0"/>
          <w:sz w:val="28"/>
          <w:szCs w:val="28"/>
        </w:rPr>
        <w:t>4 检验</w:t>
      </w:r>
      <w:bookmarkEnd w:id="59"/>
      <w:bookmarkEnd w:id="60"/>
      <w:bookmarkEnd w:id="61"/>
      <w:bookmarkEnd w:id="62"/>
      <w:bookmarkEnd w:id="6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64" w:name="_Toc16330022"/>
      <w:bookmarkStart w:id="65" w:name="_Toc11217"/>
      <w:bookmarkStart w:id="66" w:name="_Toc19850"/>
      <w:bookmarkStart w:id="67" w:name="_Toc24467"/>
      <w:bookmarkStart w:id="68" w:name="_Toc14275"/>
      <w:r>
        <w:rPr>
          <w:rFonts w:hint="eastAsia" w:ascii="黑体" w:hAnsi="黑体" w:eastAsia="黑体" w:cstheme="minorEastAsia"/>
          <w:b w:val="0"/>
          <w:sz w:val="28"/>
          <w:szCs w:val="28"/>
        </w:rPr>
        <w:t>5 权利担保</w:t>
      </w:r>
      <w:bookmarkEnd w:id="64"/>
      <w:bookmarkEnd w:id="65"/>
      <w:bookmarkEnd w:id="66"/>
      <w:bookmarkEnd w:id="67"/>
      <w:bookmarkEnd w:id="6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69" w:name="_Toc16330023"/>
      <w:bookmarkStart w:id="70" w:name="_Toc20827"/>
      <w:bookmarkStart w:id="71" w:name="_Toc14809"/>
      <w:bookmarkStart w:id="72" w:name="_Toc27500"/>
      <w:bookmarkStart w:id="73" w:name="_Toc11759"/>
      <w:r>
        <w:rPr>
          <w:rFonts w:hint="eastAsia" w:ascii="黑体" w:hAnsi="黑体" w:eastAsia="黑体" w:cstheme="minorEastAsia"/>
          <w:b w:val="0"/>
          <w:sz w:val="28"/>
          <w:szCs w:val="28"/>
        </w:rPr>
        <w:t>6 交货</w:t>
      </w:r>
      <w:bookmarkEnd w:id="69"/>
      <w:bookmarkEnd w:id="70"/>
      <w:bookmarkEnd w:id="71"/>
      <w:bookmarkEnd w:id="72"/>
      <w:bookmarkEnd w:id="7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6.8如果卖方在规定的日期前交付设备，需经买方书面同意。</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74" w:name="_Toc2984"/>
      <w:bookmarkStart w:id="75" w:name="_Toc23308"/>
      <w:bookmarkStart w:id="76" w:name="_Toc8024"/>
      <w:bookmarkStart w:id="77" w:name="_Toc16330024"/>
      <w:bookmarkStart w:id="78" w:name="_Toc25510"/>
      <w:r>
        <w:rPr>
          <w:rFonts w:hint="eastAsia" w:ascii="黑体" w:hAnsi="黑体" w:eastAsia="黑体" w:cstheme="minorEastAsia"/>
          <w:b w:val="0"/>
          <w:sz w:val="28"/>
          <w:szCs w:val="28"/>
        </w:rPr>
        <w:t>7 安装、调试</w:t>
      </w:r>
      <w:bookmarkEnd w:id="74"/>
      <w:bookmarkEnd w:id="75"/>
      <w:bookmarkEnd w:id="76"/>
      <w:bookmarkEnd w:id="77"/>
      <w:bookmarkEnd w:id="78"/>
    </w:p>
    <w:p>
      <w:pPr>
        <w:pStyle w:val="11"/>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79" w:name="_Toc16330025"/>
      <w:bookmarkStart w:id="80" w:name="_Toc15547"/>
      <w:bookmarkStart w:id="81" w:name="_Toc14098"/>
      <w:bookmarkStart w:id="82" w:name="_Toc14260"/>
      <w:bookmarkStart w:id="83" w:name="_Toc6350"/>
      <w:r>
        <w:rPr>
          <w:rFonts w:hint="eastAsia" w:ascii="黑体" w:hAnsi="黑体" w:eastAsia="黑体" w:cstheme="minorEastAsia"/>
          <w:b w:val="0"/>
          <w:sz w:val="28"/>
          <w:szCs w:val="28"/>
        </w:rPr>
        <w:t>8 价款与支付</w:t>
      </w:r>
      <w:bookmarkEnd w:id="79"/>
      <w:bookmarkEnd w:id="80"/>
      <w:bookmarkEnd w:id="81"/>
      <w:bookmarkEnd w:id="82"/>
      <w:bookmarkEnd w:id="83"/>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8.3.1合同生效后, 卖方提交金额为合同含税价款</w:t>
      </w:r>
      <w:r>
        <w:rPr>
          <w:rFonts w:hint="eastAsia" w:ascii="仿宋_GB2312" w:hAnsi="黑体" w:eastAsia="仿宋_GB2312" w:cstheme="minorEastAsia"/>
          <w:sz w:val="24"/>
          <w:szCs w:val="24"/>
          <w:lang w:val="en-US" w:eastAsia="zh-CN"/>
        </w:rPr>
        <w:t>15</w:t>
      </w:r>
      <w:r>
        <w:rPr>
          <w:rFonts w:hint="eastAsia" w:ascii="仿宋_GB2312" w:hAnsi="黑体" w:eastAsia="仿宋_GB2312" w:cstheme="minorEastAsia"/>
          <w:sz w:val="24"/>
          <w:szCs w:val="24"/>
        </w:rPr>
        <w:t>%的收据（正本一份，复印件二份）及增值税专用发票（税率为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%，正本一份，复印件二份），经买方依照财务制度审核通过后30日支付。</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8.3.2设备全部到齐无质量问题后, 卖方提交金额为合同含税价款</w:t>
      </w:r>
      <w:r>
        <w:rPr>
          <w:rFonts w:hint="eastAsia" w:ascii="仿宋_GB2312" w:hAnsi="黑体" w:eastAsia="仿宋_GB2312" w:cstheme="minorEastAsia"/>
          <w:sz w:val="24"/>
          <w:szCs w:val="24"/>
          <w:lang w:val="en-US" w:eastAsia="zh-CN"/>
        </w:rPr>
        <w:t>45</w:t>
      </w:r>
      <w:r>
        <w:rPr>
          <w:rFonts w:hint="eastAsia" w:ascii="仿宋_GB2312" w:hAnsi="黑体" w:eastAsia="仿宋_GB2312" w:cstheme="minorEastAsia"/>
          <w:sz w:val="24"/>
          <w:szCs w:val="24"/>
        </w:rPr>
        <w:t>%的收据（正本一份，复印件二份）及合同价</w:t>
      </w:r>
      <w:r>
        <w:rPr>
          <w:rFonts w:hint="eastAsia" w:ascii="仿宋_GB2312" w:hAnsi="黑体" w:eastAsia="仿宋_GB2312" w:cstheme="minorEastAsia"/>
          <w:sz w:val="24"/>
          <w:szCs w:val="24"/>
          <w:lang w:val="en-US" w:eastAsia="zh-CN"/>
        </w:rPr>
        <w:t>45</w:t>
      </w:r>
      <w:r>
        <w:rPr>
          <w:rFonts w:hint="eastAsia" w:ascii="仿宋_GB2312" w:hAnsi="黑体" w:eastAsia="仿宋_GB2312" w:cstheme="minorEastAsia"/>
          <w:sz w:val="24"/>
          <w:szCs w:val="24"/>
        </w:rPr>
        <w:t>%增值税专用发票（税率为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%，正本一份，复印件二份），经买方依照财务制度审核通过后30日支付。</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8.3.3设备全部到齐无质量问题，经安装、调试最终验收合格后，卖方提交金额为合同含税价款</w:t>
      </w:r>
      <w:r>
        <w:rPr>
          <w:rFonts w:hint="eastAsia" w:ascii="仿宋_GB2312" w:hAnsi="黑体" w:eastAsia="仿宋_GB2312" w:cstheme="minorEastAsia"/>
          <w:sz w:val="24"/>
          <w:szCs w:val="24"/>
          <w:lang w:val="en-US" w:eastAsia="zh-CN"/>
        </w:rPr>
        <w:t>25</w:t>
      </w:r>
      <w:r>
        <w:rPr>
          <w:rFonts w:hint="eastAsia" w:ascii="仿宋_GB2312" w:hAnsi="黑体" w:eastAsia="仿宋_GB2312" w:cstheme="minorEastAsia"/>
          <w:sz w:val="24"/>
          <w:szCs w:val="24"/>
        </w:rPr>
        <w:t>%的收据及合同价40%增值税专用发票（税率为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%，正本一份，复印件二份）并附带该套合同设备最终验收报告的原件及其复印件两份，经买方依照财务制度审核通过后30日支付：</w:t>
      </w:r>
    </w:p>
    <w:p>
      <w:pPr>
        <w:spacing w:line="360" w:lineRule="auto"/>
        <w:ind w:firstLine="453" w:firstLineChars="189"/>
        <w:rPr>
          <w:rFonts w:asciiTheme="minorEastAsia" w:hAnsiTheme="minorEastAsia" w:cstheme="minorEastAsia"/>
          <w:sz w:val="20"/>
          <w:szCs w:val="20"/>
        </w:rPr>
      </w:pPr>
      <w:bookmarkStart w:id="84" w:name="_Toc14676804"/>
      <w:bookmarkStart w:id="85" w:name="_Toc14531628"/>
      <w:r>
        <w:rPr>
          <w:rFonts w:hint="eastAsia" w:ascii="仿宋_GB2312" w:hAnsi="黑体" w:eastAsia="仿宋_GB2312" w:cstheme="minorEastAsia"/>
          <w:sz w:val="24"/>
          <w:szCs w:val="24"/>
        </w:rPr>
        <w:t>8.3.4合同含税总价款的 1</w:t>
      </w:r>
      <w:r>
        <w:rPr>
          <w:rFonts w:hint="eastAsia" w:ascii="仿宋_GB2312" w:hAnsi="黑体" w:eastAsia="仿宋_GB2312" w:cstheme="minorEastAsia"/>
          <w:sz w:val="24"/>
          <w:szCs w:val="24"/>
          <w:lang w:val="en-US" w:eastAsia="zh-CN"/>
        </w:rPr>
        <w:t>5</w:t>
      </w:r>
      <w:r>
        <w:rPr>
          <w:rFonts w:hint="eastAsia" w:ascii="仿宋_GB2312" w:hAnsi="黑体" w:eastAsia="仿宋_GB2312" w:cstheme="minorEastAsia"/>
          <w:sz w:val="24"/>
          <w:szCs w:val="24"/>
        </w:rPr>
        <w:t>%作为本合同约定设备的质量保证金，质量保证金在质量保证期内不计利息。待每套合同设备质量保证期满后，卖方向买方提交金额为合同价款1</w:t>
      </w:r>
      <w:r>
        <w:rPr>
          <w:rFonts w:hint="eastAsia" w:ascii="仿宋_GB2312" w:hAnsi="黑体" w:eastAsia="仿宋_GB2312" w:cstheme="minorEastAsia"/>
          <w:sz w:val="24"/>
          <w:szCs w:val="24"/>
          <w:lang w:val="en-US" w:eastAsia="zh-CN"/>
        </w:rPr>
        <w:t>5</w:t>
      </w:r>
      <w:r>
        <w:rPr>
          <w:rFonts w:hint="eastAsia" w:ascii="仿宋_GB2312" w:hAnsi="黑体" w:eastAsia="仿宋_GB2312" w:cstheme="minorEastAsia"/>
          <w:sz w:val="24"/>
          <w:szCs w:val="24"/>
        </w:rPr>
        <w:t>%的收据（正本一份，复印件二份）及设备使用单位的使用情况说明，经买方依照财务制度审核通过后30日支付。如有质量问题，质量保证金予以相应扣除。</w:t>
      </w:r>
      <w:bookmarkEnd w:id="84"/>
      <w:bookmarkEnd w:id="85"/>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86" w:name="_Toc21726"/>
      <w:bookmarkStart w:id="87" w:name="_Toc24085"/>
      <w:bookmarkStart w:id="88" w:name="_Toc25708"/>
      <w:bookmarkStart w:id="89" w:name="_Toc6726"/>
      <w:bookmarkStart w:id="90" w:name="_Toc16330026"/>
      <w:r>
        <w:rPr>
          <w:rFonts w:hint="eastAsia" w:ascii="黑体" w:hAnsi="黑体" w:eastAsia="黑体" w:cstheme="minorEastAsia"/>
          <w:b w:val="0"/>
          <w:sz w:val="28"/>
          <w:szCs w:val="28"/>
        </w:rPr>
        <w:t>9 质量保证及售后服务</w:t>
      </w:r>
      <w:bookmarkEnd w:id="86"/>
      <w:bookmarkEnd w:id="87"/>
      <w:bookmarkEnd w:id="88"/>
      <w:bookmarkEnd w:id="89"/>
      <w:bookmarkEnd w:id="90"/>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91" w:name="_Toc15570"/>
      <w:bookmarkStart w:id="92" w:name="_Toc16330027"/>
      <w:bookmarkStart w:id="93" w:name="_Toc26769"/>
      <w:bookmarkStart w:id="94" w:name="_Toc10359"/>
      <w:bookmarkStart w:id="95" w:name="_Toc12927"/>
      <w:r>
        <w:rPr>
          <w:rFonts w:hint="eastAsia" w:ascii="黑体" w:hAnsi="黑体" w:eastAsia="黑体" w:cstheme="minorEastAsia"/>
          <w:b w:val="0"/>
          <w:sz w:val="28"/>
          <w:szCs w:val="28"/>
        </w:rPr>
        <w:t>10法定责任</w:t>
      </w:r>
      <w:bookmarkEnd w:id="91"/>
      <w:bookmarkEnd w:id="92"/>
      <w:bookmarkEnd w:id="93"/>
      <w:bookmarkEnd w:id="94"/>
      <w:bookmarkEnd w:id="95"/>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96" w:name="_Toc27314"/>
      <w:bookmarkStart w:id="97" w:name="_Toc16330028"/>
      <w:bookmarkStart w:id="98" w:name="_Toc9708"/>
      <w:bookmarkStart w:id="99" w:name="_Toc7698"/>
      <w:bookmarkStart w:id="100" w:name="_Toc30381"/>
      <w:r>
        <w:rPr>
          <w:rFonts w:hint="eastAsia" w:ascii="黑体" w:hAnsi="黑体" w:eastAsia="黑体" w:cstheme="minorEastAsia"/>
          <w:b w:val="0"/>
          <w:sz w:val="28"/>
          <w:szCs w:val="28"/>
        </w:rPr>
        <w:t>11 违约责任</w:t>
      </w:r>
      <w:bookmarkEnd w:id="96"/>
      <w:bookmarkEnd w:id="97"/>
      <w:bookmarkEnd w:id="98"/>
      <w:bookmarkEnd w:id="99"/>
      <w:bookmarkEnd w:id="100"/>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11.3如果卖方未能按期到货，卖方应向买方支付违约金，违约金比率为每迟交壹日，按合同总价的10‰计算，但是违约金的金额不得超过合同总价款的 20 %，如果卖方在达到违约金的最高限额后仍不能交货，买方有权就卖方违约而解除本合同，且卖方仍须支付上述违约金，并赔偿由此给买方造成的一切损失。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11.4如卖方未按7.1条履行义务，从逾期之日起卖方每天按合同总价款的 10 ‰支付给买方作违约金，但是违约金的金额不得超过合同总价的 20 %。如果卖方在达到违约金的最高限额或者不能使设备通过最终验收，买方有权就卖方违约而解除本合同，且卖方仍须支付上述违约金，并返还买方支付的设备款，并赔偿由此给买方造成的一切损失。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bookmarkStart w:id="101" w:name="_Toc16330029"/>
      <w:bookmarkStart w:id="102" w:name="_Toc31554"/>
      <w:bookmarkStart w:id="103" w:name="_Toc9172"/>
      <w:bookmarkStart w:id="104" w:name="_Toc1827"/>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bookmarkEnd w:id="101"/>
    <w:bookmarkEnd w:id="102"/>
    <w:bookmarkEnd w:id="103"/>
    <w:bookmarkEnd w:id="104"/>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05" w:name="_Toc23793"/>
      <w:r>
        <w:rPr>
          <w:rFonts w:hint="eastAsia" w:ascii="黑体" w:hAnsi="黑体" w:eastAsia="黑体" w:cstheme="minorEastAsia"/>
          <w:b w:val="0"/>
          <w:sz w:val="28"/>
          <w:szCs w:val="28"/>
        </w:rPr>
        <w:t>12 合同的终止与解除</w:t>
      </w:r>
      <w:bookmarkEnd w:id="105"/>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12.3有下列情形之一的，买方可以解除本合同：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12.3.1卖方明确表示或者以自己的行为表明不履行主要义务的；</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12.3.2按照本合同第11.3条或第11.4条的规定，达到违约金的最高限额；</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12.3.3卖方所提交的设备不符合本合同的规定；</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06" w:name="_Toc16330030"/>
      <w:bookmarkStart w:id="107" w:name="_Toc13671"/>
      <w:bookmarkStart w:id="108" w:name="_Toc8620"/>
      <w:bookmarkStart w:id="109" w:name="_Toc11937"/>
      <w:bookmarkStart w:id="110" w:name="_Toc31945"/>
      <w:r>
        <w:rPr>
          <w:rFonts w:hint="eastAsia" w:ascii="黑体" w:hAnsi="黑体" w:eastAsia="黑体" w:cstheme="minorEastAsia"/>
          <w:b w:val="0"/>
          <w:sz w:val="28"/>
          <w:szCs w:val="28"/>
        </w:rPr>
        <w:t>13 不可抗力</w:t>
      </w:r>
      <w:bookmarkEnd w:id="106"/>
      <w:bookmarkEnd w:id="107"/>
      <w:bookmarkEnd w:id="108"/>
      <w:bookmarkEnd w:id="109"/>
      <w:bookmarkEnd w:id="11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11" w:name="_Toc16330031"/>
      <w:bookmarkStart w:id="112" w:name="_Toc18772"/>
      <w:bookmarkStart w:id="113" w:name="_Toc30389"/>
      <w:bookmarkStart w:id="114" w:name="_Toc31243"/>
      <w:bookmarkStart w:id="115" w:name="_Toc637"/>
      <w:r>
        <w:rPr>
          <w:rFonts w:hint="eastAsia" w:ascii="黑体" w:hAnsi="黑体" w:eastAsia="黑体" w:cstheme="minorEastAsia"/>
          <w:b w:val="0"/>
          <w:sz w:val="28"/>
          <w:szCs w:val="28"/>
        </w:rPr>
        <w:t>14 通讯</w:t>
      </w:r>
      <w:bookmarkEnd w:id="111"/>
      <w:bookmarkEnd w:id="112"/>
      <w:bookmarkEnd w:id="113"/>
      <w:bookmarkEnd w:id="114"/>
      <w:bookmarkEnd w:id="11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3"/>
        <w:tabs>
          <w:tab w:val="right" w:leader="dot" w:pos="9061"/>
        </w:tabs>
        <w:spacing w:before="312" w:beforeLines="100"/>
        <w:rPr>
          <w:rFonts w:ascii="黑体" w:hAnsi="黑体" w:eastAsia="黑体" w:cstheme="minorEastAsia"/>
          <w:b w:val="0"/>
          <w:sz w:val="28"/>
          <w:szCs w:val="28"/>
        </w:rPr>
      </w:pPr>
      <w:bookmarkStart w:id="116" w:name="_Toc11290"/>
      <w:bookmarkStart w:id="117" w:name="_Toc9915"/>
      <w:bookmarkStart w:id="118" w:name="_Toc12984"/>
      <w:bookmarkStart w:id="119" w:name="_Toc16330032"/>
      <w:bookmarkStart w:id="120" w:name="_Toc23011"/>
      <w:r>
        <w:rPr>
          <w:rFonts w:hint="eastAsia" w:ascii="黑体" w:hAnsi="黑体" w:eastAsia="黑体" w:cstheme="minorEastAsia"/>
          <w:b w:val="0"/>
          <w:sz w:val="28"/>
          <w:szCs w:val="28"/>
        </w:rPr>
        <w:t>15 适用法律及争议解决</w:t>
      </w:r>
      <w:bookmarkEnd w:id="116"/>
      <w:bookmarkEnd w:id="117"/>
      <w:bookmarkEnd w:id="118"/>
      <w:bookmarkEnd w:id="119"/>
      <w:bookmarkEnd w:id="12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21" w:name="_Toc18207"/>
      <w:bookmarkStart w:id="122" w:name="_Toc23765"/>
      <w:bookmarkStart w:id="123" w:name="_Toc5747"/>
      <w:bookmarkStart w:id="124" w:name="_Toc16330033"/>
      <w:bookmarkStart w:id="125" w:name="_Toc23906"/>
      <w:r>
        <w:rPr>
          <w:rFonts w:hint="eastAsia" w:ascii="黑体" w:hAnsi="黑体" w:eastAsia="黑体" w:cstheme="minorEastAsia"/>
          <w:b w:val="0"/>
          <w:sz w:val="28"/>
          <w:szCs w:val="28"/>
        </w:rPr>
        <w:t>16 附件</w:t>
      </w:r>
      <w:bookmarkEnd w:id="121"/>
      <w:bookmarkEnd w:id="122"/>
      <w:bookmarkEnd w:id="123"/>
      <w:bookmarkEnd w:id="124"/>
      <w:bookmarkEnd w:id="12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26" w:name="_Toc17656"/>
      <w:bookmarkStart w:id="127" w:name="_Toc16330034"/>
      <w:bookmarkStart w:id="128" w:name="_Toc9594"/>
      <w:bookmarkStart w:id="129" w:name="_Toc31331"/>
      <w:bookmarkStart w:id="130" w:name="_Toc27202"/>
      <w:r>
        <w:rPr>
          <w:rFonts w:hint="eastAsia" w:ascii="黑体" w:hAnsi="黑体" w:eastAsia="黑体" w:cstheme="minorEastAsia"/>
          <w:b w:val="0"/>
          <w:sz w:val="28"/>
          <w:szCs w:val="28"/>
        </w:rPr>
        <w:t>17 其他规定</w:t>
      </w:r>
      <w:bookmarkEnd w:id="126"/>
      <w:bookmarkEnd w:id="127"/>
      <w:bookmarkEnd w:id="128"/>
      <w:bookmarkEnd w:id="129"/>
      <w:bookmarkEnd w:id="13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31" w:name="_Toc29136"/>
      <w:bookmarkStart w:id="132" w:name="_Toc17952"/>
      <w:bookmarkStart w:id="133" w:name="_Toc19077"/>
      <w:bookmarkStart w:id="134" w:name="_Toc16330035"/>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3"/>
        <w:tabs>
          <w:tab w:val="right" w:leader="dot" w:pos="9061"/>
        </w:tabs>
        <w:spacing w:before="312" w:beforeLines="100"/>
        <w:ind w:firstLine="529" w:firstLineChars="189"/>
        <w:rPr>
          <w:rFonts w:ascii="黑体" w:hAnsi="黑体" w:eastAsia="黑体" w:cstheme="minorEastAsia"/>
          <w:b w:val="0"/>
          <w:sz w:val="28"/>
          <w:szCs w:val="28"/>
        </w:rPr>
      </w:pPr>
      <w:bookmarkStart w:id="135" w:name="_Toc15340"/>
      <w:r>
        <w:rPr>
          <w:rFonts w:hint="eastAsia" w:ascii="黑体" w:hAnsi="黑体" w:eastAsia="黑体" w:cstheme="minorEastAsia"/>
          <w:b w:val="0"/>
          <w:sz w:val="28"/>
          <w:szCs w:val="28"/>
        </w:rPr>
        <w:t>18 签署事项</w:t>
      </w:r>
      <w:bookmarkEnd w:id="131"/>
      <w:bookmarkEnd w:id="132"/>
      <w:bookmarkEnd w:id="133"/>
      <w:bookmarkEnd w:id="134"/>
      <w:bookmarkEnd w:id="13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spacing w:line="360" w:lineRule="auto"/>
        <w:rPr>
          <w:rFonts w:ascii="仿宋_GB2312" w:eastAsia="仿宋_GB2312"/>
          <w:sz w:val="24"/>
          <w:szCs w:val="24"/>
        </w:rPr>
      </w:pPr>
    </w:p>
    <w:p>
      <w:pPr>
        <w:tabs>
          <w:tab w:val="right" w:leader="dot" w:pos="9061"/>
        </w:tabs>
        <w:rPr>
          <w:rFonts w:ascii="仿宋_GB2312" w:eastAsia="仿宋_GB2312"/>
          <w:sz w:val="24"/>
          <w:szCs w:val="24"/>
        </w:rPr>
      </w:pPr>
      <w:bookmarkStart w:id="136" w:name="_Toc15689"/>
      <w:bookmarkStart w:id="137" w:name="_Toc28611"/>
      <w:bookmarkStart w:id="138" w:name="_Toc10272"/>
      <w:bookmarkStart w:id="139" w:name="_Toc16330036"/>
    </w:p>
    <w:p>
      <w:pPr>
        <w:tabs>
          <w:tab w:val="right" w:leader="dot" w:pos="9061"/>
        </w:tabs>
        <w:rPr>
          <w:sz w:val="24"/>
          <w:szCs w:val="24"/>
        </w:rPr>
      </w:pPr>
    </w:p>
    <w:p>
      <w:pPr>
        <w:tabs>
          <w:tab w:val="right" w:leader="dot" w:pos="9061"/>
        </w:tabs>
        <w:rPr>
          <w:sz w:val="24"/>
          <w:szCs w:val="24"/>
        </w:rPr>
      </w:pPr>
    </w:p>
    <w:p>
      <w:pPr>
        <w:tabs>
          <w:tab w:val="right" w:leader="dot" w:pos="9061"/>
        </w:tabs>
        <w:rPr>
          <w:sz w:val="24"/>
          <w:szCs w:val="24"/>
        </w:rPr>
      </w:pPr>
    </w:p>
    <w:p>
      <w:pPr>
        <w:tabs>
          <w:tab w:val="right" w:leader="dot" w:pos="9061"/>
        </w:tabs>
        <w:rPr>
          <w:sz w:val="24"/>
          <w:szCs w:val="24"/>
        </w:rPr>
      </w:pPr>
    </w:p>
    <w:p>
      <w:pPr>
        <w:tabs>
          <w:tab w:val="right" w:leader="dot" w:pos="9061"/>
        </w:tabs>
        <w:rPr>
          <w:sz w:val="24"/>
          <w:szCs w:val="24"/>
        </w:rPr>
      </w:pPr>
    </w:p>
    <w:bookmarkEnd w:id="136"/>
    <w:bookmarkEnd w:id="137"/>
    <w:bookmarkEnd w:id="138"/>
    <w:bookmarkEnd w:id="139"/>
    <w:p>
      <w:pPr>
        <w:pStyle w:val="3"/>
        <w:tabs>
          <w:tab w:val="right" w:leader="dot" w:pos="9061"/>
        </w:tabs>
        <w:rPr>
          <w:rFonts w:ascii="黑体" w:hAnsi="黑体" w:eastAsia="黑体" w:cstheme="minorEastAsia"/>
          <w:b w:val="0"/>
          <w:sz w:val="28"/>
          <w:szCs w:val="28"/>
        </w:rPr>
      </w:pPr>
      <w:bookmarkStart w:id="140" w:name="_Toc14581"/>
      <w:r>
        <w:rPr>
          <w:rFonts w:hint="eastAsia" w:ascii="黑体" w:hAnsi="黑体" w:eastAsia="黑体" w:cstheme="minorEastAsia"/>
          <w:b w:val="0"/>
          <w:sz w:val="28"/>
          <w:szCs w:val="28"/>
        </w:rPr>
        <w:t>附件一：设备清单明细表</w:t>
      </w:r>
      <w:bookmarkEnd w:id="140"/>
    </w:p>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28"/>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8"/>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8"/>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8"/>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tabs>
          <w:tab w:val="right" w:leader="dot" w:pos="9061"/>
        </w:tabs>
        <w:rPr>
          <w:rFonts w:asciiTheme="minorEastAsia" w:hAnsiTheme="minorEastAsia" w:cstheme="minorEastAsia"/>
          <w:sz w:val="20"/>
        </w:rPr>
      </w:pPr>
      <w:bookmarkStart w:id="141" w:name="_Toc25120"/>
      <w:bookmarkStart w:id="142" w:name="_Toc5379"/>
      <w:bookmarkStart w:id="143" w:name="_Toc3778"/>
      <w:bookmarkStart w:id="144" w:name="_Toc16330037"/>
      <w:bookmarkStart w:id="145" w:name="_Toc24623"/>
    </w:p>
    <w:p>
      <w:pPr>
        <w:rPr>
          <w:rFonts w:asciiTheme="minorEastAsia" w:hAnsiTheme="minorEastAsia" w:cstheme="minorEastAsia"/>
          <w:sz w:val="20"/>
          <w:szCs w:val="20"/>
        </w:rPr>
      </w:pPr>
      <w:r>
        <w:rPr>
          <w:rFonts w:hint="eastAsia" w:asciiTheme="minorEastAsia" w:hAnsiTheme="minorEastAsia" w:cstheme="minorEastAsia"/>
          <w:sz w:val="20"/>
          <w:szCs w:val="20"/>
        </w:rPr>
        <w:br w:type="page"/>
      </w:r>
    </w:p>
    <w:p>
      <w:pPr>
        <w:pStyle w:val="3"/>
        <w:tabs>
          <w:tab w:val="right" w:leader="dot" w:pos="9061"/>
        </w:tabs>
        <w:rPr>
          <w:rFonts w:ascii="黑体" w:hAnsi="黑体" w:eastAsia="黑体" w:cstheme="minorEastAsia"/>
          <w:b w:val="0"/>
          <w:sz w:val="28"/>
          <w:szCs w:val="28"/>
        </w:rPr>
      </w:pPr>
      <w:bookmarkStart w:id="146" w:name="_Toc8175"/>
      <w:r>
        <w:rPr>
          <w:rFonts w:hint="eastAsia" w:ascii="黑体" w:hAnsi="黑体" w:eastAsia="黑体" w:cstheme="minorEastAsia"/>
          <w:b w:val="0"/>
          <w:sz w:val="28"/>
          <w:szCs w:val="28"/>
        </w:rPr>
        <w:t xml:space="preserve">附件二 </w:t>
      </w:r>
      <w:bookmarkEnd w:id="141"/>
      <w:bookmarkEnd w:id="142"/>
      <w:bookmarkEnd w:id="143"/>
      <w:bookmarkEnd w:id="144"/>
      <w:bookmarkEnd w:id="145"/>
      <w:r>
        <w:rPr>
          <w:rFonts w:hint="eastAsia" w:ascii="黑体" w:hAnsi="黑体" w:eastAsia="黑体" w:cstheme="minorEastAsia"/>
          <w:b w:val="0"/>
          <w:sz w:val="28"/>
          <w:szCs w:val="28"/>
        </w:rPr>
        <w:t>技术协议书</w:t>
      </w:r>
      <w:bookmarkEnd w:id="146"/>
    </w:p>
    <w:p>
      <w:pPr>
        <w:ind w:right="360"/>
        <w:rPr>
          <w:rFonts w:asciiTheme="minorEastAsia" w:hAnsiTheme="minorEastAsia" w:cstheme="minorEastAsia"/>
          <w:sz w:val="20"/>
          <w:szCs w:val="20"/>
        </w:rPr>
        <w:sectPr>
          <w:headerReference r:id="rId12" w:type="default"/>
          <w:footerReference r:id="rId13" w:type="default"/>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47" w:name="_Toc30594"/>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六</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47"/>
    </w:p>
    <w:p>
      <w:pPr>
        <w:keepNext/>
        <w:keepLines/>
        <w:outlineLvl w:val="9"/>
        <w:rPr>
          <w:rFonts w:hint="eastAsia" w:ascii="Times New Roman" w:hAnsi="Times New Roman" w:eastAsia="宋体" w:cs="Times New Roman"/>
          <w:b/>
          <w:bCs/>
          <w:color w:val="000000"/>
          <w:sz w:val="24"/>
          <w:szCs w:val="24"/>
        </w:rPr>
      </w:pPr>
    </w:p>
    <w:p>
      <w:pPr>
        <w:pStyle w:val="19"/>
        <w:rPr>
          <w:rFonts w:hint="eastAsia"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所有附件文件应以中文书写，作为投标文件的组成部分。</w:t>
      </w:r>
    </w:p>
    <w:p>
      <w:pPr>
        <w:pStyle w:val="19"/>
        <w:rPr>
          <w:rFonts w:hint="eastAsia" w:ascii="Times New Roman" w:hAnsi="Times New Roman" w:eastAsia="宋体" w:cs="Times New Roman"/>
          <w:b/>
          <w:bCs/>
          <w:color w:val="000000"/>
          <w:sz w:val="24"/>
          <w:szCs w:val="24"/>
        </w:rPr>
        <w:sectPr>
          <w:footerReference r:id="rId15" w:type="first"/>
          <w:footerReference r:id="rId14" w:type="default"/>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48" w:name="_Toc25811"/>
      <w:bookmarkStart w:id="149" w:name="_Toc639004"/>
      <w:bookmarkStart w:id="150" w:name="_Toc353881012"/>
      <w:bookmarkStart w:id="151"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48"/>
      <w:bookmarkEnd w:id="149"/>
      <w:bookmarkEnd w:id="150"/>
      <w:bookmarkEnd w:id="151"/>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eastAsia="宋体" w:cs="Times New Roman"/>
          <w:color w:val="000000"/>
          <w:sz w:val="24"/>
          <w:szCs w:val="24"/>
          <w:lang w:eastAsia="zh-CN"/>
        </w:rPr>
        <w:t>中国重汽集团济南动力有限公司</w:t>
      </w:r>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Times New Roman" w:hAnsi="Times New Roman" w:eastAsia="宋体" w:cs="Times New Roman"/>
          <w:color w:val="000000"/>
          <w:kern w:val="2"/>
          <w:sz w:val="24"/>
          <w:szCs w:val="24"/>
          <w:u w:val="single"/>
          <w:shd w:val="clear" w:color="auto" w:fill="auto"/>
          <w:lang w:val="en-US" w:eastAsia="zh-CN" w:bidi="ar-SA"/>
        </w:rPr>
        <w:t>新能源产品试验检测中心（二期）技改项目-试验室环保设备设施</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none"/>
        </w:rPr>
        <w:t>一</w:t>
      </w:r>
      <w:r>
        <w:rPr>
          <w:rFonts w:hint="eastAsia" w:ascii="宋体" w:hAnsi="宋体" w:eastAsia="宋体" w:cs="Times New Roman"/>
          <w:color w:val="000000"/>
          <w:sz w:val="24"/>
          <w:szCs w:val="24"/>
        </w:rPr>
        <w:t>份、副本</w:t>
      </w:r>
      <w:r>
        <w:rPr>
          <w:rFonts w:hint="eastAsia" w:ascii="宋体" w:hAnsi="宋体" w:eastAsia="宋体" w:cs="Times New Roman"/>
          <w:color w:val="000000"/>
          <w:sz w:val="24"/>
          <w:szCs w:val="24"/>
          <w:lang w:val="en-US" w:eastAsia="zh-CN"/>
        </w:rPr>
        <w:t>一</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19"/>
        <w:rPr>
          <w:rFonts w:ascii="黑体" w:hAnsi="Calibri" w:eastAsia="黑体" w:cs="Times New Roman"/>
          <w:color w:val="000000"/>
          <w:sz w:val="24"/>
          <w:szCs w:val="24"/>
        </w:rPr>
      </w:pPr>
    </w:p>
    <w:p>
      <w:pPr>
        <w:pStyle w:val="19"/>
        <w:rPr>
          <w:rFonts w:ascii="黑体" w:hAnsi="Calibri" w:eastAsia="黑体" w:cs="Times New Roman"/>
          <w:color w:val="000000"/>
          <w:sz w:val="24"/>
          <w:szCs w:val="24"/>
        </w:rPr>
      </w:pPr>
    </w:p>
    <w:p>
      <w:pPr>
        <w:pStyle w:val="19"/>
        <w:rPr>
          <w:rFonts w:ascii="黑体" w:hAnsi="Calibri" w:eastAsia="黑体" w:cs="Times New Roman"/>
          <w:color w:val="000000"/>
          <w:sz w:val="24"/>
          <w:szCs w:val="24"/>
        </w:rPr>
      </w:pPr>
    </w:p>
    <w:p>
      <w:pPr>
        <w:pStyle w:val="19"/>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Times New Roman" w:hAnsi="Times New Roman" w:eastAsia="宋体" w:cs="Times New Roman"/>
          <w:color w:val="000000"/>
          <w:kern w:val="2"/>
          <w:sz w:val="24"/>
          <w:szCs w:val="24"/>
          <w:u w:val="single"/>
          <w:shd w:val="clear" w:color="auto" w:fill="auto"/>
          <w:lang w:val="en-US" w:eastAsia="zh-CN" w:bidi="ar-SA"/>
        </w:rPr>
        <w:t>新能源产品试验检测中心（二期）技改项目-试验室环保设备设施</w:t>
      </w:r>
      <w:r>
        <w:rPr>
          <w:rFonts w:hint="eastAsia" w:ascii="宋体" w:hAnsi="宋体" w:eastAsia="宋体" w:cs="宋体"/>
          <w:b w:val="0"/>
          <w:bCs w:val="0"/>
          <w:color w:val="000000"/>
          <w:sz w:val="24"/>
          <w:szCs w:val="24"/>
          <w:highlight w:val="none"/>
          <w:u w:val="single"/>
          <w:shd w:val="clear" w:color="auto" w:fill="auto"/>
        </w:rPr>
        <w:t xml:space="preserve"> </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lang w:val="en-US" w:eastAsia="zh-CN"/>
        </w:rPr>
        <w:t>采购形式编号</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lang w:eastAsia="zh-CN"/>
        </w:rPr>
        <w:t>（</w:t>
      </w:r>
      <w:r>
        <w:rPr>
          <w:rFonts w:hint="eastAsia" w:ascii="宋体" w:hAnsi="宋体" w:eastAsia="宋体" w:cs="Times New Roman"/>
          <w:color w:val="000000"/>
          <w:sz w:val="24"/>
          <w:szCs w:val="24"/>
          <w:u w:val="single"/>
          <w:lang w:val="en-US" w:eastAsia="zh-CN"/>
        </w:rPr>
        <w:t>须为移动电话</w:t>
      </w:r>
      <w:r>
        <w:rPr>
          <w:rFonts w:hint="eastAsia" w:ascii="宋体" w:hAnsi="宋体" w:eastAsia="宋体" w:cs="Times New Roman"/>
          <w:color w:val="000000"/>
          <w:sz w:val="24"/>
          <w:szCs w:val="24"/>
          <w:u w:val="single"/>
          <w:lang w:eastAsia="zh-CN"/>
        </w:rPr>
        <w:t>）</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19"/>
        <w:rPr>
          <w:rFonts w:ascii="Calibri" w:hAnsi="Calibri" w:eastAsia="黑体" w:cs="Times New Roman"/>
          <w:b/>
          <w:bCs/>
          <w:color w:val="000000"/>
          <w:sz w:val="28"/>
          <w:szCs w:val="20"/>
        </w:rPr>
        <w:sectPr>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35"/>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7"/>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7"/>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02" w:hRule="atLeast"/>
        </w:trPr>
        <w:tc>
          <w:tcPr>
            <w:tcW w:w="1956" w:type="dxa"/>
          </w:tcPr>
          <w:p>
            <w:pPr>
              <w:pStyle w:val="137"/>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7"/>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6" w:hRule="atLeast"/>
        </w:trPr>
        <w:tc>
          <w:tcPr>
            <w:tcW w:w="1956" w:type="dxa"/>
          </w:tcPr>
          <w:p>
            <w:pPr>
              <w:pStyle w:val="137"/>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7"/>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7"/>
              <w:spacing w:before="111"/>
              <w:ind w:left="509"/>
              <w:rPr>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137"/>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7"/>
              <w:spacing w:before="114"/>
              <w:ind w:left="720"/>
            </w:pPr>
            <w:r>
              <w:t xml:space="preserve">品牌区分 </w:t>
            </w:r>
          </w:p>
        </w:tc>
        <w:tc>
          <w:tcPr>
            <w:tcW w:w="7500" w:type="dxa"/>
            <w:gridSpan w:val="6"/>
          </w:tcPr>
          <w:p>
            <w:pPr>
              <w:pStyle w:val="137"/>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7"/>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137"/>
              <w:spacing w:before="15"/>
              <w:ind w:left="279"/>
            </w:pPr>
            <w:r>
              <w:rPr>
                <w:spacing w:val="-2"/>
              </w:rPr>
              <w:t>质量</w:t>
            </w:r>
            <w:r>
              <w:t xml:space="preserve"> </w:t>
            </w:r>
          </w:p>
          <w:p>
            <w:pPr>
              <w:pStyle w:val="137"/>
              <w:spacing w:before="30" w:line="277" w:lineRule="exact"/>
              <w:ind w:left="279"/>
            </w:pPr>
            <w:r>
              <w:rPr>
                <w:rFonts w:hint="eastAsia"/>
              </w:rPr>
              <w:t>体系</w:t>
            </w:r>
          </w:p>
        </w:tc>
        <w:tc>
          <w:tcPr>
            <w:tcW w:w="2820" w:type="dxa"/>
            <w:gridSpan w:val="2"/>
          </w:tcPr>
          <w:p>
            <w:pPr>
              <w:pStyle w:val="137"/>
              <w:spacing w:before="158"/>
              <w:jc w:val="center"/>
              <w:rPr>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7"/>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pPr>
              <w:widowControl/>
              <w:jc w:val="left"/>
              <w:rPr>
                <w:rFonts w:ascii="宋体" w:hAnsi="宋体" w:eastAsia="宋体" w:cs="宋体"/>
                <w:kern w:val="0"/>
                <w:szCs w:val="21"/>
                <w:lang w:bidi="ar"/>
              </w:rPr>
            </w:pPr>
          </w:p>
        </w:tc>
      </w:tr>
    </w:tbl>
    <w:p>
      <w:pP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br w:type="page"/>
      </w:r>
    </w:p>
    <w:p>
      <w:pPr>
        <w:pStyle w:val="19"/>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19"/>
        <w:rPr>
          <w:rFonts w:ascii="Times New Roman" w:hAnsi="Times New Roman" w:eastAsia="宋体" w:cs="Times New Roman"/>
          <w:b/>
          <w:bCs/>
          <w:color w:val="000000"/>
          <w:sz w:val="24"/>
          <w:szCs w:val="24"/>
        </w:rPr>
      </w:pP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449" w:type="dxa"/>
            <w:gridSpan w:val="4"/>
            <w:vAlign w:val="center"/>
          </w:tcPr>
          <w:p>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w:t>
            </w:r>
            <w:r>
              <w:rPr>
                <w:rFonts w:hint="eastAsia" w:ascii="宋体" w:hAnsi="宋体" w:eastAsia="宋体"/>
                <w:color w:val="000000"/>
                <w:sz w:val="24"/>
                <w:szCs w:val="24"/>
                <w:lang w:val="en-US" w:eastAsia="zh-CN"/>
              </w:rPr>
              <w:t>20</w:t>
            </w:r>
            <w:r>
              <w:rPr>
                <w:rFonts w:hint="eastAsia" w:ascii="宋体" w:hAnsi="宋体" w:eastAsia="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1</w:t>
            </w:r>
            <w:r>
              <w:rPr>
                <w:rFonts w:hint="eastAsia" w:ascii="宋体" w:hAnsi="宋体" w:eastAsia="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2</w:t>
            </w:r>
            <w:r>
              <w:rPr>
                <w:rFonts w:hint="eastAsia" w:ascii="宋体" w:hAnsi="宋体" w:eastAsia="宋体"/>
                <w:color w:val="000000"/>
                <w:sz w:val="24"/>
                <w:szCs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6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shd w:val="clear" w:color="auto" w:fill="auto"/>
          <w:lang w:val="en-US" w:eastAsia="zh-CN"/>
        </w:rPr>
      </w:pPr>
      <w:r>
        <w:rPr>
          <w:rFonts w:hint="eastAsia" w:ascii="宋体" w:hAnsi="宋体" w:eastAsia="宋体" w:cs="Times New Roman"/>
          <w:sz w:val="24"/>
          <w:szCs w:val="20"/>
        </w:rPr>
        <w:t>项目名称：</w:t>
      </w:r>
      <w:r>
        <w:rPr>
          <w:rFonts w:hint="eastAsia" w:ascii="Times New Roman" w:hAnsi="Times New Roman" w:eastAsia="宋体" w:cs="Times New Roman"/>
          <w:color w:val="000000"/>
          <w:kern w:val="2"/>
          <w:sz w:val="24"/>
          <w:szCs w:val="24"/>
          <w:u w:val="single"/>
          <w:shd w:val="clear" w:color="auto" w:fill="auto"/>
          <w:lang w:val="en-US" w:eastAsia="zh-CN" w:bidi="ar-SA"/>
        </w:rPr>
        <w:t>新能源产品试验检测中心（二期）技改项目-试验室环保设备设施</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中国重汽集团济南动力有限公司</w:t>
      </w:r>
      <w:r>
        <w:rPr>
          <w:rFonts w:hint="eastAsia" w:ascii="宋体" w:hAnsi="宋体" w:eastAsia="宋体" w:cs="Times New Roman"/>
          <w:b/>
          <w:bCs/>
          <w:sz w:val="24"/>
          <w:szCs w:val="20"/>
        </w:rPr>
        <w:t>：</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无论是否中标、是否签署合同，对获得的招标人商业秘密（包括但不限于产品和/或装备的技术文件、汽车产品数模、数据</w:t>
      </w:r>
      <w:r>
        <w:rPr>
          <w:rFonts w:hint="eastAsia" w:ascii="宋体" w:hAnsi="宋体" w:eastAsia="宋体" w:cs="Times New Roman"/>
          <w:sz w:val="24"/>
          <w:szCs w:val="20"/>
          <w:u w:val="single"/>
          <w:lang w:eastAsia="zh-CN"/>
        </w:rPr>
        <w:t>、</w:t>
      </w:r>
      <w:r>
        <w:rPr>
          <w:rFonts w:hint="eastAsia" w:ascii="宋体" w:hAnsi="宋体" w:eastAsia="宋体" w:cs="Times New Roman"/>
          <w:sz w:val="24"/>
          <w:szCs w:val="20"/>
          <w:u w:val="single"/>
        </w:rPr>
        <w:t>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Times New Roman" w:hAnsi="Times New Roman" w:eastAsia="宋体" w:cs="Times New Roman"/>
          <w:color w:val="000000"/>
          <w:kern w:val="2"/>
          <w:sz w:val="24"/>
          <w:szCs w:val="24"/>
          <w:u w:val="single"/>
          <w:shd w:val="clear" w:color="auto" w:fill="auto"/>
          <w:lang w:val="en-US" w:eastAsia="zh-CN" w:bidi="ar-SA"/>
        </w:rPr>
        <w:t>新能源产品试验检测中心（二期）技改项目-试验室环保设备设施</w:t>
      </w:r>
      <w:r>
        <w:rPr>
          <w:rFonts w:ascii="宋体" w:hAnsi="宋体" w:eastAsia="宋体" w:cs="Times New Roman"/>
          <w:color w:val="000000"/>
          <w:sz w:val="24"/>
          <w:szCs w:val="24"/>
          <w:shd w:val="clear" w:color="auto" w:fill="auto"/>
        </w:rPr>
        <w:t xml:space="preserve">  </w:t>
      </w:r>
      <w:r>
        <w:rPr>
          <w:rFonts w:ascii="宋体" w:hAnsi="宋体" w:eastAsia="宋体" w:cs="Times New Roman"/>
          <w:color w:val="000000"/>
          <w:sz w:val="24"/>
          <w:szCs w:val="24"/>
        </w:rPr>
        <w:t xml:space="preserve">                                                         </w:t>
      </w:r>
    </w:p>
    <w:tbl>
      <w:tblPr>
        <w:tblStyle w:val="38"/>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Times New Roman"/>
          <w:sz w:val="24"/>
          <w:szCs w:val="20"/>
          <w:lang w:eastAsia="zh-CN"/>
        </w:rPr>
      </w:pPr>
      <w:r>
        <w:rPr>
          <w:rFonts w:hint="eastAsia" w:ascii="宋体" w:hAnsi="宋体" w:eastAsia="宋体" w:cs="Times New Roman"/>
          <w:sz w:val="24"/>
          <w:szCs w:val="20"/>
        </w:rPr>
        <w:t>法定代表人（委托代理人）：（签字</w:t>
      </w:r>
      <w:r>
        <w:rPr>
          <w:rFonts w:hint="eastAsia" w:ascii="宋体" w:hAnsi="宋体" w:eastAsia="宋体" w:cs="Times New Roman"/>
          <w:sz w:val="24"/>
          <w:szCs w:val="20"/>
          <w:lang w:eastAsia="zh-CN"/>
        </w:rPr>
        <w:t>）</w:t>
      </w:r>
    </w:p>
    <w:p>
      <w:pPr>
        <w:pStyle w:val="26"/>
        <w:rPr>
          <w:rFonts w:hint="eastAsia" w:ascii="宋体" w:hAnsi="宋体" w:eastAsia="宋体" w:cs="Times New Roman"/>
          <w:sz w:val="24"/>
          <w:szCs w:val="20"/>
          <w:lang w:eastAsia="zh-CN"/>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hint="eastAsia"/>
          <w:lang w:val="en-US" w:eastAsia="zh-CN"/>
        </w:rPr>
        <w:sectPr>
          <w:footerReference r:id="rId21" w:type="first"/>
          <w:footerReference r:id="rId20" w:type="default"/>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lang w:eastAsia="zh-CN"/>
        </w:rPr>
        <w:t>2020年1月1日</w:t>
      </w:r>
      <w:r>
        <w:rPr>
          <w:rFonts w:hint="eastAsia" w:ascii="Times New Roman" w:hAnsi="Times New Roman" w:eastAsia="宋体" w:cs="Times New Roman"/>
          <w:b/>
          <w:bCs/>
          <w:color w:val="000000"/>
          <w:sz w:val="24"/>
          <w:szCs w:val="24"/>
        </w:rPr>
        <w:t>以来同类项目业绩一览表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Times New Roman" w:hAnsi="Times New Roman" w:eastAsia="宋体" w:cs="Times New Roman"/>
          <w:color w:val="000000"/>
          <w:kern w:val="2"/>
          <w:sz w:val="24"/>
          <w:szCs w:val="24"/>
          <w:u w:val="single"/>
          <w:shd w:val="clear" w:color="auto" w:fill="auto"/>
          <w:lang w:val="en-US" w:eastAsia="zh-CN" w:bidi="ar-SA"/>
        </w:rPr>
        <w:t>新能源产品试验检测中心（二期）技改项目-试验室环保设备设施</w:t>
      </w:r>
      <w:r>
        <w:rPr>
          <w:rFonts w:ascii="宋体" w:hAnsi="宋体" w:eastAsia="宋体" w:cs="Times New Roman"/>
          <w:color w:val="000000"/>
          <w:sz w:val="24"/>
          <w:szCs w:val="24"/>
        </w:rPr>
        <w:t xml:space="preserve">                                                             </w:t>
      </w:r>
    </w:p>
    <w:tbl>
      <w:tblPr>
        <w:tblStyle w:val="3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red"/>
                <w:lang w:eastAsia="zh-CN"/>
              </w:rPr>
              <w:t>202</w:t>
            </w:r>
            <w:r>
              <w:rPr>
                <w:rFonts w:hint="eastAsia" w:ascii="宋体" w:hAnsi="宋体" w:eastAsia="宋体" w:cs="宋体"/>
                <w:sz w:val="24"/>
                <w:szCs w:val="24"/>
                <w:highlight w:val="red"/>
                <w:lang w:val="en-US" w:eastAsia="zh-CN"/>
              </w:rPr>
              <w:t>2</w:t>
            </w:r>
            <w:r>
              <w:rPr>
                <w:rFonts w:hint="eastAsia" w:ascii="宋体" w:hAnsi="宋体" w:eastAsia="宋体" w:cs="宋体"/>
                <w:sz w:val="24"/>
                <w:szCs w:val="24"/>
                <w:highlight w:val="red"/>
                <w:lang w:eastAsia="zh-CN"/>
              </w:rPr>
              <w:t>年1月1日</w:t>
            </w:r>
            <w:r>
              <w:rPr>
                <w:rFonts w:ascii="宋体" w:hAnsi="宋体" w:eastAsia="宋体" w:cs="宋体"/>
                <w:sz w:val="24"/>
                <w:szCs w:val="24"/>
                <w:highlight w:val="red"/>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w:t>
      </w:r>
      <w:r>
        <w:rPr>
          <w:rFonts w:hint="eastAsia" w:ascii="宋体" w:hAnsi="宋体" w:eastAsia="宋体" w:cs="宋体"/>
          <w:kern w:val="0"/>
          <w:sz w:val="24"/>
          <w:szCs w:val="20"/>
          <w:lang w:eastAsia="zh-CN"/>
        </w:rPr>
        <w:t>202</w:t>
      </w:r>
      <w:r>
        <w:rPr>
          <w:rFonts w:hint="eastAsia" w:ascii="宋体" w:hAnsi="宋体" w:eastAsia="宋体" w:cs="宋体"/>
          <w:kern w:val="0"/>
          <w:sz w:val="24"/>
          <w:szCs w:val="20"/>
          <w:lang w:val="en-US" w:eastAsia="zh-CN"/>
        </w:rPr>
        <w:t>2</w:t>
      </w:r>
      <w:r>
        <w:rPr>
          <w:rFonts w:hint="eastAsia" w:ascii="宋体" w:hAnsi="宋体" w:eastAsia="宋体" w:cs="宋体"/>
          <w:kern w:val="0"/>
          <w:sz w:val="24"/>
          <w:szCs w:val="20"/>
          <w:lang w:eastAsia="zh-CN"/>
        </w:rPr>
        <w:t>年1月1日</w:t>
      </w:r>
      <w:r>
        <w:rPr>
          <w:rFonts w:hint="eastAsia" w:ascii="宋体" w:hAnsi="宋体" w:eastAsia="宋体" w:cs="宋体"/>
          <w:kern w:val="0"/>
          <w:sz w:val="24"/>
          <w:szCs w:val="20"/>
        </w:rPr>
        <w:t>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hint="default" w:ascii="宋体" w:hAnsi="宋体" w:eastAsia="宋体" w:cs="Times New Roman"/>
          <w:sz w:val="24"/>
          <w:szCs w:val="20"/>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Times New Roman" w:hAnsi="Times New Roman" w:eastAsia="宋体" w:cs="Times New Roman"/>
          <w:color w:val="000000"/>
          <w:kern w:val="2"/>
          <w:sz w:val="24"/>
          <w:szCs w:val="24"/>
          <w:u w:val="single"/>
          <w:shd w:val="clear" w:color="auto" w:fill="auto"/>
          <w:lang w:val="en-US" w:eastAsia="zh-CN" w:bidi="ar-SA"/>
        </w:rPr>
        <w:t>新能源产品试验检测中心（二期）技改项目-试验室环保设备设施</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Times New Roman" w:hAnsi="Times New Roman" w:eastAsia="宋体" w:cs="Times New Roman"/>
          <w:color w:val="000000"/>
          <w:kern w:val="2"/>
          <w:sz w:val="24"/>
          <w:szCs w:val="24"/>
          <w:u w:val="single"/>
          <w:shd w:val="clear" w:color="auto" w:fill="auto"/>
          <w:lang w:val="en-US" w:eastAsia="zh-CN" w:bidi="ar-SA"/>
        </w:rPr>
        <w:t>新能源产品试验检测中心（二期）技改项目-试验室环保设备设施</w:t>
      </w:r>
      <w:r>
        <w:rPr>
          <w:rFonts w:ascii="宋体" w:hAnsi="宋体" w:eastAsia="宋体" w:cs="Times New Roman"/>
          <w:color w:val="000000"/>
          <w:sz w:val="24"/>
          <w:szCs w:val="24"/>
        </w:rPr>
        <w:t xml:space="preserve">                                                        </w:t>
      </w:r>
    </w:p>
    <w:tbl>
      <w:tblPr>
        <w:tblStyle w:val="38"/>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color w:val="000000"/>
                <w:kern w:val="2"/>
                <w:sz w:val="24"/>
                <w:szCs w:val="24"/>
                <w:u w:val="single"/>
                <w:shd w:val="clear" w:color="auto" w:fill="auto"/>
                <w:lang w:val="en-US" w:eastAsia="zh-CN" w:bidi="ar-SA"/>
              </w:rPr>
              <w:t>试验室环保设备设施</w:t>
            </w:r>
          </w:p>
        </w:tc>
        <w:tc>
          <w:tcPr>
            <w:tcW w:w="84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1套</w:t>
            </w:r>
          </w:p>
        </w:tc>
        <w:tc>
          <w:tcPr>
            <w:tcW w:w="2270" w:type="dxa"/>
            <w:vAlign w:val="center"/>
          </w:tcPr>
          <w:p>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p>
          <w:p>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4" w:hRule="atLeast"/>
          <w:jc w:val="center"/>
        </w:trPr>
        <w:tc>
          <w:tcPr>
            <w:tcW w:w="677" w:type="dxa"/>
            <w:vAlign w:val="center"/>
          </w:tcPr>
          <w:p>
            <w:pPr>
              <w:jc w:val="center"/>
              <w:rPr>
                <w:rFonts w:ascii="Times New Roman" w:hAnsi="Times New Roman" w:eastAsia="宋体" w:cs="Times New Roman"/>
                <w:b/>
                <w:szCs w:val="20"/>
              </w:rPr>
            </w:pPr>
          </w:p>
        </w:tc>
        <w:tc>
          <w:tcPr>
            <w:tcW w:w="1518" w:type="dxa"/>
            <w:vAlign w:val="center"/>
          </w:tcPr>
          <w:p>
            <w:pPr>
              <w:jc w:val="center"/>
              <w:rPr>
                <w:rFonts w:hint="eastAsia" w:ascii="Times New Roman" w:hAnsi="Times New Roman" w:eastAsia="宋体" w:cs="Times New Roman"/>
                <w:color w:val="000000"/>
                <w:kern w:val="2"/>
                <w:sz w:val="24"/>
                <w:szCs w:val="24"/>
                <w:u w:val="single"/>
                <w:shd w:val="clear" w:color="auto" w:fill="auto"/>
                <w:lang w:val="en-US" w:eastAsia="zh-CN" w:bidi="ar-SA"/>
              </w:rPr>
            </w:pPr>
          </w:p>
        </w:tc>
        <w:tc>
          <w:tcPr>
            <w:tcW w:w="848" w:type="dxa"/>
            <w:vAlign w:val="center"/>
          </w:tcPr>
          <w:p>
            <w:pPr>
              <w:jc w:val="center"/>
              <w:rPr>
                <w:rFonts w:hint="eastAsia" w:ascii="Times New Roman" w:hAnsi="Times New Roman" w:eastAsia="宋体" w:cs="Times New Roman"/>
                <w:b/>
                <w:szCs w:val="20"/>
                <w:lang w:val="en-US" w:eastAsia="zh-CN"/>
              </w:rPr>
            </w:pPr>
          </w:p>
        </w:tc>
        <w:tc>
          <w:tcPr>
            <w:tcW w:w="2270" w:type="dxa"/>
            <w:vAlign w:val="center"/>
          </w:tcPr>
          <w:p>
            <w:pPr>
              <w:jc w:val="left"/>
              <w:rPr>
                <w:rFonts w:hint="eastAsia" w:ascii="等线" w:hAnsi="等线" w:eastAsia="等线" w:cs="Times New Roman"/>
                <w:b/>
                <w:szCs w:val="20"/>
              </w:rPr>
            </w:pP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4" w:hRule="atLeast"/>
          <w:jc w:val="center"/>
        </w:trPr>
        <w:tc>
          <w:tcPr>
            <w:tcW w:w="3043" w:type="dxa"/>
            <w:gridSpan w:val="3"/>
            <w:vAlign w:val="center"/>
          </w:tcPr>
          <w:p>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rPr>
              <w:t>投标总价</w:t>
            </w:r>
            <w:r>
              <w:rPr>
                <w:rFonts w:hint="eastAsia" w:ascii="等线" w:hAnsi="等线" w:eastAsia="等线" w:cs="Times New Roman"/>
                <w:b/>
                <w:szCs w:val="20"/>
              </w:rPr>
              <w:t>（元，含税）大写</w:t>
            </w:r>
          </w:p>
        </w:tc>
        <w:tc>
          <w:tcPr>
            <w:tcW w:w="6017" w:type="dxa"/>
            <w:gridSpan w:val="5"/>
            <w:vAlign w:val="center"/>
          </w:tcPr>
          <w:p>
            <w:pPr>
              <w:jc w:val="center"/>
              <w:rPr>
                <w:rFonts w:ascii="Times New Roman" w:hAnsi="Times New Roman" w:eastAsia="宋体" w:cs="Times New Roman"/>
                <w:b/>
                <w:szCs w:val="20"/>
              </w:rPr>
            </w:pPr>
          </w:p>
        </w:tc>
      </w:tr>
    </w:tbl>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520" w:lineRule="exact"/>
        <w:rPr>
          <w:rFonts w:ascii="宋体" w:hAnsi="宋体" w:eastAsia="宋体" w:cs="Times New Roman"/>
          <w:b/>
          <w:bCs/>
          <w:szCs w:val="21"/>
        </w:rPr>
      </w:pPr>
      <w:r>
        <w:rPr>
          <w:rFonts w:hint="eastAsia" w:ascii="宋体" w:hAnsi="宋体" w:eastAsia="宋体" w:cs="Times New Roman"/>
          <w:b/>
          <w:bCs/>
          <w:szCs w:val="21"/>
        </w:rPr>
        <w:t>3.需写明含税价、不含税价格、税率。</w:t>
      </w:r>
    </w:p>
    <w:p>
      <w:pPr>
        <w:spacing w:line="520" w:lineRule="exact"/>
        <w:rPr>
          <w:rFonts w:ascii="宋体" w:hAnsi="宋体" w:eastAsia="宋体" w:cs="Times New Roman"/>
          <w:b/>
          <w:bCs/>
          <w:szCs w:val="21"/>
          <w:lang w:val="en-US" w:eastAsia="zh-CN"/>
        </w:rPr>
      </w:pPr>
      <w:r>
        <w:rPr>
          <w:rFonts w:hint="eastAsia" w:ascii="宋体" w:hAnsi="宋体" w:eastAsia="宋体" w:cs="Times New Roman"/>
          <w:b/>
          <w:bCs/>
          <w:szCs w:val="21"/>
          <w:lang w:val="en-US" w:eastAsia="zh-CN"/>
        </w:rPr>
        <w:t>4.投标总价大写为必填项，如发生大小写不一致，以大写为准。</w:t>
      </w:r>
    </w:p>
    <w:p>
      <w:pPr>
        <w:spacing w:line="520" w:lineRule="exact"/>
        <w:rPr>
          <w:rFonts w:ascii="宋体" w:hAnsi="宋体" w:eastAsia="宋体" w:cs="Times New Roman"/>
          <w:b/>
          <w:bCs/>
          <w:szCs w:val="21"/>
          <w:highlight w:val="yellow"/>
          <w:lang w:val="en-US" w:eastAsia="zh-CN"/>
        </w:rPr>
      </w:pPr>
      <w:r>
        <w:rPr>
          <w:rFonts w:hint="eastAsia" w:ascii="宋体" w:hAnsi="宋体" w:eastAsia="宋体" w:cs="Times New Roman"/>
          <w:b/>
          <w:bCs/>
          <w:szCs w:val="21"/>
          <w:highlight w:val="yellow"/>
          <w:lang w:val="en-US" w:eastAsia="zh-CN"/>
        </w:rPr>
        <w:t>5.投标总价包括全部（全新）产品价、表面处理费用、运杂费（包括现场卸车费）、设计、制造、安装、调试（含现场调试）、调试板料费，样件生产及包装运输费、验收、技术及售后服务费、技术资料费、备品备件费等所有费用的总和。</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19"/>
        <w:sectPr>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rPr>
          <w:rFonts w:hint="eastAsia" w:ascii="宋体" w:hAnsi="宋体" w:cs="宋体"/>
          <w:color w:val="000000"/>
          <w:sz w:val="24"/>
          <w:szCs w:val="24"/>
        </w:rPr>
      </w:pPr>
    </w:p>
    <w:p>
      <w:pPr>
        <w:pStyle w:val="4"/>
        <w:jc w:val="left"/>
        <w:rPr>
          <w:rFonts w:hint="eastAsia" w:ascii="宋体" w:hAnsi="宋体" w:eastAsia="宋体" w:cs="宋体"/>
          <w:spacing w:val="8"/>
          <w:sz w:val="24"/>
          <w:szCs w:val="24"/>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5"/>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lang w:val="en-US" w:eastAsia="zh-CN"/>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5"/>
        <w:tblW w:w="502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585"/>
        <w:gridCol w:w="416"/>
        <w:gridCol w:w="2089"/>
        <w:gridCol w:w="1656"/>
        <w:gridCol w:w="1029"/>
        <w:gridCol w:w="1029"/>
        <w:gridCol w:w="1558"/>
        <w:gridCol w:w="2441"/>
        <w:gridCol w:w="2266"/>
        <w:gridCol w:w="98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08" w:type="pct"/>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891" w:type="pct"/>
            <w:gridSpan w:val="2"/>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589" w:type="pct"/>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366" w:type="pct"/>
            <w:vAlign w:val="center"/>
          </w:tcPr>
          <w:p>
            <w:pPr>
              <w:spacing w:before="0" w:line="221" w:lineRule="auto"/>
              <w:ind w:left="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366" w:type="pct"/>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554" w:type="pct"/>
            <w:vAlign w:val="center"/>
          </w:tcPr>
          <w:p>
            <w:pPr>
              <w:spacing w:before="0" w:line="221" w:lineRule="auto"/>
              <w:ind w:left="0" w:right="0" w:firstLine="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867" w:type="pct"/>
            <w:tcBorders>
              <w:right w:val="single" w:color="000000" w:sz="4" w:space="0"/>
            </w:tcBorders>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未</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税）</w:t>
            </w:r>
          </w:p>
        </w:tc>
        <w:tc>
          <w:tcPr>
            <w:tcW w:w="806" w:type="pct"/>
            <w:tcBorders>
              <w:left w:val="single" w:color="000000" w:sz="4" w:space="0"/>
            </w:tcBorders>
            <w:vAlign w:val="center"/>
          </w:tcPr>
          <w:p>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未</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税）</w:t>
            </w:r>
          </w:p>
        </w:tc>
        <w:tc>
          <w:tcPr>
            <w:tcW w:w="351" w:type="pct"/>
            <w:vAlign w:val="center"/>
          </w:tcPr>
          <w:p>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208" w:type="pct"/>
            <w:vAlign w:val="center"/>
          </w:tcPr>
          <w:p>
            <w:pPr>
              <w:widowControl/>
              <w:jc w:val="center"/>
              <w:rPr>
                <w:rFonts w:hint="eastAsia" w:ascii="Times New Roman" w:hAnsi="Times New Roman" w:eastAsia="宋体" w:cs="Times New Roman"/>
                <w:color w:val="000000"/>
                <w:kern w:val="0"/>
                <w:sz w:val="20"/>
                <w:lang w:val="en-US" w:eastAsia="zh-CN"/>
              </w:rPr>
            </w:pPr>
          </w:p>
        </w:tc>
        <w:tc>
          <w:tcPr>
            <w:tcW w:w="891" w:type="pct"/>
            <w:gridSpan w:val="2"/>
            <w:vAlign w:val="center"/>
          </w:tcPr>
          <w:p>
            <w:pPr>
              <w:keepNext w:val="0"/>
              <w:keepLines w:val="0"/>
              <w:widowControl/>
              <w:suppressLineNumbers w:val="0"/>
              <w:jc w:val="left"/>
              <w:textAlignment w:val="center"/>
              <w:rPr>
                <w:rFonts w:hint="default" w:ascii="Arial" w:eastAsiaTheme="minorEastAsia"/>
                <w:lang w:val="en-US" w:eastAsia="zh-CN"/>
              </w:rPr>
            </w:pPr>
            <w:r>
              <w:rPr>
                <w:rFonts w:hint="eastAsia" w:ascii="宋体" w:hAnsi="宋体" w:eastAsia="宋体" w:cs="宋体"/>
                <w:i w:val="0"/>
                <w:iCs w:val="0"/>
                <w:color w:val="000000"/>
                <w:kern w:val="0"/>
                <w:sz w:val="22"/>
                <w:szCs w:val="22"/>
                <w:u w:val="none"/>
                <w:lang w:val="en-US" w:eastAsia="zh-CN" w:bidi="ar"/>
              </w:rPr>
              <w:t>自行完善</w:t>
            </w:r>
          </w:p>
        </w:tc>
        <w:tc>
          <w:tcPr>
            <w:tcW w:w="589" w:type="pct"/>
          </w:tcPr>
          <w:p>
            <w:pPr>
              <w:rPr>
                <w:rFonts w:ascii="Arial"/>
              </w:rPr>
            </w:pPr>
          </w:p>
        </w:tc>
        <w:tc>
          <w:tcPr>
            <w:tcW w:w="366" w:type="pct"/>
            <w:vAlign w:val="top"/>
          </w:tcPr>
          <w:p>
            <w:pPr>
              <w:jc w:val="center"/>
              <w:rPr>
                <w:rFonts w:ascii="Times New Roman" w:hAnsi="Times New Roman" w:eastAsia="宋体" w:cs="Times New Roman"/>
                <w:sz w:val="24"/>
                <w:szCs w:val="24"/>
              </w:rPr>
            </w:pPr>
          </w:p>
        </w:tc>
        <w:tc>
          <w:tcPr>
            <w:tcW w:w="366" w:type="pct"/>
            <w:vAlign w:val="top"/>
          </w:tcPr>
          <w:p>
            <w:pPr>
              <w:jc w:val="center"/>
              <w:rPr>
                <w:rFonts w:ascii="Times New Roman" w:hAnsi="Times New Roman" w:eastAsia="宋体" w:cs="Times New Roman"/>
                <w:kern w:val="2"/>
                <w:sz w:val="21"/>
                <w:szCs w:val="22"/>
                <w:lang w:val="en-US" w:eastAsia="zh-CN" w:bidi="ar-SA"/>
              </w:rPr>
            </w:pPr>
          </w:p>
        </w:tc>
        <w:tc>
          <w:tcPr>
            <w:tcW w:w="554" w:type="pct"/>
          </w:tcPr>
          <w:p>
            <w:pPr>
              <w:rPr>
                <w:rFonts w:ascii="Arial"/>
              </w:rPr>
            </w:pPr>
          </w:p>
        </w:tc>
        <w:tc>
          <w:tcPr>
            <w:tcW w:w="867" w:type="pct"/>
            <w:tcBorders>
              <w:right w:val="single" w:color="000000" w:sz="4" w:space="0"/>
            </w:tcBorders>
          </w:tcPr>
          <w:p>
            <w:pPr>
              <w:rPr>
                <w:rFonts w:ascii="Arial"/>
              </w:rPr>
            </w:pPr>
          </w:p>
        </w:tc>
        <w:tc>
          <w:tcPr>
            <w:tcW w:w="806" w:type="pct"/>
            <w:tcBorders>
              <w:left w:val="single" w:color="000000" w:sz="4" w:space="0"/>
            </w:tcBorders>
          </w:tcPr>
          <w:p>
            <w:pPr>
              <w:rPr>
                <w:rFonts w:ascii="Arial"/>
              </w:rPr>
            </w:pPr>
          </w:p>
        </w:tc>
        <w:tc>
          <w:tcPr>
            <w:tcW w:w="351" w:type="pct"/>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56" w:type="pct"/>
            <w:gridSpan w:val="2"/>
            <w:tcBorders>
              <w:right w:val="single" w:color="000000" w:sz="4" w:space="0"/>
            </w:tcBorders>
          </w:tcPr>
          <w:p>
            <w:pPr>
              <w:jc w:val="center"/>
              <w:rPr>
                <w:rFonts w:ascii="宋体" w:hAnsi="宋体" w:eastAsia="宋体" w:cs="宋体"/>
                <w:spacing w:val="-6"/>
                <w:szCs w:val="21"/>
              </w:rPr>
            </w:pPr>
          </w:p>
        </w:tc>
        <w:tc>
          <w:tcPr>
            <w:tcW w:w="3486" w:type="pct"/>
            <w:gridSpan w:val="6"/>
            <w:tcBorders>
              <w:right w:val="single" w:color="000000" w:sz="4" w:space="0"/>
            </w:tcBorders>
          </w:tcPr>
          <w:p>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806" w:type="pct"/>
            <w:tcBorders>
              <w:left w:val="single" w:color="000000" w:sz="4" w:space="0"/>
            </w:tcBorders>
          </w:tcPr>
          <w:p>
            <w:pPr>
              <w:rPr>
                <w:rFonts w:ascii="Arial"/>
              </w:rPr>
            </w:pPr>
          </w:p>
          <w:p/>
        </w:tc>
        <w:tc>
          <w:tcPr>
            <w:tcW w:w="351" w:type="pct"/>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56" w:type="pct"/>
            <w:gridSpan w:val="2"/>
            <w:tcBorders>
              <w:right w:val="single" w:color="000000" w:sz="4" w:space="0"/>
            </w:tcBorders>
          </w:tcPr>
          <w:p>
            <w:pPr>
              <w:jc w:val="center"/>
              <w:rPr>
                <w:rFonts w:ascii="宋体" w:hAnsi="宋体" w:eastAsia="宋体" w:cs="宋体"/>
                <w:spacing w:val="-6"/>
                <w:szCs w:val="21"/>
              </w:rPr>
            </w:pPr>
          </w:p>
        </w:tc>
        <w:tc>
          <w:tcPr>
            <w:tcW w:w="3486" w:type="pct"/>
            <w:gridSpan w:val="6"/>
            <w:tcBorders>
              <w:right w:val="single" w:color="000000" w:sz="4" w:space="0"/>
            </w:tcBorders>
          </w:tcPr>
          <w:p>
            <w:pPr>
              <w:jc w:val="center"/>
              <w:rPr>
                <w:rFonts w:ascii="宋体" w:hAnsi="宋体" w:eastAsia="宋体" w:cs="宋体"/>
                <w:spacing w:val="-6"/>
                <w:szCs w:val="21"/>
              </w:rPr>
            </w:pPr>
          </w:p>
        </w:tc>
        <w:tc>
          <w:tcPr>
            <w:tcW w:w="806" w:type="pct"/>
            <w:tcBorders>
              <w:left w:val="single" w:color="000000" w:sz="4" w:space="0"/>
            </w:tcBorders>
          </w:tcPr>
          <w:p/>
        </w:tc>
        <w:tc>
          <w:tcPr>
            <w:tcW w:w="351" w:type="pct"/>
          </w:tcPr>
          <w:p>
            <w:pPr>
              <w:rPr>
                <w:rFonts w:ascii="Arial"/>
              </w:rPr>
            </w:pPr>
          </w:p>
        </w:tc>
      </w:tr>
    </w:tbl>
    <w:p>
      <w:pPr>
        <w:spacing w:before="52" w:line="221" w:lineRule="auto"/>
        <w:ind w:left="9"/>
        <w:jc w:val="right"/>
        <w:rPr>
          <w:rFonts w:ascii="宋体" w:hAnsi="宋体" w:eastAsia="宋体" w:cs="宋体"/>
          <w:szCs w:val="21"/>
          <w14:textOutline w14:w="3835" w14:cap="flat" w14:cmpd="sng" w14:algn="ctr">
            <w14:solidFill>
              <w14:srgbClr w14:val="000000"/>
            </w14:solidFill>
            <w14:prstDash w14:val="solid"/>
            <w14:miter w14:val="0"/>
          </w14:textOutline>
        </w:rPr>
      </w:pPr>
    </w:p>
    <w:p>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lang w:val="en-US" w:eastAsia="zh-CN"/>
        </w:rPr>
        <w:t>6</w:t>
      </w:r>
      <w:r>
        <w:rPr>
          <w:rFonts w:hint="eastAsia" w:ascii="宋体" w:hAnsi="宋体" w:eastAsia="宋体" w:cs="宋体"/>
          <w:spacing w:val="-6"/>
          <w:szCs w:val="21"/>
        </w:rPr>
        <w:t>.因填写不规范造成废标及终止招标的，责任由投标人自负。</w:t>
      </w:r>
    </w:p>
    <w:p>
      <w:pPr>
        <w:spacing w:before="78" w:line="219" w:lineRule="auto"/>
        <w:ind w:left="431"/>
        <w:rPr>
          <w:rFonts w:hint="eastAsia" w:ascii="宋体" w:hAnsi="宋体" w:eastAsia="宋体" w:cs="宋体"/>
          <w:b w:val="0"/>
          <w:bCs w:val="0"/>
          <w:spacing w:val="-6"/>
          <w:szCs w:val="21"/>
          <w:lang w:val="en-US" w:eastAsia="zh-CN"/>
        </w:rPr>
      </w:pPr>
    </w:p>
    <w:p>
      <w:pPr>
        <w:spacing w:line="105" w:lineRule="exact"/>
      </w:pPr>
    </w:p>
    <w:p>
      <w:pPr>
        <w:sectPr>
          <w:footerReference r:id="rId24" w:type="default"/>
          <w:pgSz w:w="16841" w:h="11907" w:orient="landscape"/>
          <w:pgMar w:top="400" w:right="1387" w:bottom="1168" w:left="1473" w:header="0" w:footer="990" w:gutter="0"/>
          <w:pgBorders>
            <w:top w:val="none" w:sz="0" w:space="0"/>
            <w:left w:val="none" w:sz="0" w:space="0"/>
            <w:bottom w:val="none" w:sz="0" w:space="0"/>
            <w:right w:val="none" w:sz="0" w:space="0"/>
          </w:pgBorders>
          <w:pgNumType w:fmt="decimal"/>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pgBorders>
            <w:top w:val="none" w:sz="0" w:space="0"/>
            <w:left w:val="none" w:sz="0" w:space="0"/>
            <w:bottom w:val="none" w:sz="0" w:space="0"/>
            <w:right w:val="none" w:sz="0" w:space="0"/>
          </w:pgBorders>
          <w:pgNumType w:fmt="decimal"/>
          <w:cols w:equalWidth="0" w:num="2">
            <w:col w:w="4757" w:space="100"/>
            <w:col w:w="9124"/>
          </w:cols>
        </w:sectPr>
      </w:pPr>
    </w:p>
    <w:p>
      <w:pPr>
        <w:pStyle w:val="5"/>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35"/>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tcBorders>
              <w:tl2br w:val="nil"/>
              <w:tr2bl w:val="nil"/>
            </w:tcBorders>
            <w:vAlign w:val="top"/>
          </w:tcPr>
          <w:p>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tcBorders>
              <w:tl2br w:val="nil"/>
              <w:tr2bl w:val="nil"/>
            </w:tcBorders>
            <w:vAlign w:val="top"/>
          </w:tcPr>
          <w:p>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Borders>
              <w:tl2br w:val="nil"/>
              <w:tr2bl w:val="nil"/>
            </w:tcBorders>
            <w:vAlign w:val="top"/>
          </w:tcPr>
          <w:p>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186" w:type="dxa"/>
            <w:tcBorders>
              <w:tl2br w:val="nil"/>
              <w:tr2bl w:val="nil"/>
            </w:tcBorders>
            <w:vAlign w:val="top"/>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未</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税）</w:t>
            </w:r>
          </w:p>
        </w:tc>
        <w:tc>
          <w:tcPr>
            <w:tcW w:w="2596" w:type="dxa"/>
            <w:tcBorders>
              <w:tl2br w:val="nil"/>
              <w:tr2bl w:val="nil"/>
            </w:tcBorders>
            <w:vAlign w:val="top"/>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合计</w:t>
            </w: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未</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税）</w:t>
            </w:r>
          </w:p>
        </w:tc>
        <w:tc>
          <w:tcPr>
            <w:tcW w:w="2164" w:type="dxa"/>
            <w:tcBorders>
              <w:tl2br w:val="nil"/>
              <w:tr2bl w:val="nil"/>
            </w:tcBorders>
            <w:vAlign w:val="top"/>
          </w:tcPr>
          <w:p>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Borders>
              <w:tl2br w:val="nil"/>
              <w:tr2bl w:val="nil"/>
            </w:tcBorders>
            <w:vAlign w:val="top"/>
          </w:tcPr>
          <w:p>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tcBorders>
              <w:tl2br w:val="nil"/>
              <w:tr2bl w:val="nil"/>
            </w:tcBorders>
            <w:vAlign w:val="top"/>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Borders>
              <w:tl2br w:val="nil"/>
              <w:tr2bl w:val="nil"/>
            </w:tcBorders>
            <w:vAlign w:val="top"/>
          </w:tcPr>
          <w:p>
            <w:pPr>
              <w:rPr>
                <w:rFonts w:ascii="Arial"/>
              </w:rPr>
            </w:pPr>
          </w:p>
        </w:tc>
        <w:tc>
          <w:tcPr>
            <w:tcW w:w="2186" w:type="dxa"/>
            <w:tcBorders>
              <w:tl2br w:val="nil"/>
              <w:tr2bl w:val="nil"/>
            </w:tcBorders>
            <w:vAlign w:val="top"/>
          </w:tcPr>
          <w:p>
            <w:pPr>
              <w:rPr>
                <w:rFonts w:ascii="Arial"/>
              </w:rPr>
            </w:pPr>
          </w:p>
        </w:tc>
        <w:tc>
          <w:tcPr>
            <w:tcW w:w="2596" w:type="dxa"/>
            <w:tcBorders>
              <w:tl2br w:val="nil"/>
              <w:tr2bl w:val="nil"/>
            </w:tcBorders>
            <w:vAlign w:val="top"/>
          </w:tcPr>
          <w:p>
            <w:pPr>
              <w:rPr>
                <w:rFonts w:ascii="Arial"/>
              </w:rPr>
            </w:pPr>
          </w:p>
        </w:tc>
        <w:tc>
          <w:tcPr>
            <w:tcW w:w="2164" w:type="dxa"/>
            <w:tcBorders>
              <w:tl2br w:val="nil"/>
              <w:tr2bl w:val="nil"/>
            </w:tcBorders>
            <w:vAlign w:val="top"/>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Borders>
              <w:tl2br w:val="nil"/>
              <w:tr2bl w:val="nil"/>
            </w:tcBorders>
            <w:vAlign w:val="top"/>
          </w:tcPr>
          <w:p>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tcBorders>
              <w:tl2br w:val="nil"/>
              <w:tr2bl w:val="nil"/>
            </w:tcBorders>
            <w:vAlign w:val="top"/>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Borders>
              <w:tl2br w:val="nil"/>
              <w:tr2bl w:val="nil"/>
            </w:tcBorders>
            <w:vAlign w:val="top"/>
          </w:tcPr>
          <w:p>
            <w:pPr>
              <w:rPr>
                <w:rFonts w:ascii="Arial"/>
              </w:rPr>
            </w:pPr>
          </w:p>
        </w:tc>
        <w:tc>
          <w:tcPr>
            <w:tcW w:w="2186" w:type="dxa"/>
            <w:tcBorders>
              <w:tl2br w:val="nil"/>
              <w:tr2bl w:val="nil"/>
            </w:tcBorders>
            <w:vAlign w:val="top"/>
          </w:tcPr>
          <w:p>
            <w:pPr>
              <w:rPr>
                <w:rFonts w:ascii="Arial"/>
              </w:rPr>
            </w:pPr>
          </w:p>
        </w:tc>
        <w:tc>
          <w:tcPr>
            <w:tcW w:w="2596" w:type="dxa"/>
            <w:tcBorders>
              <w:tl2br w:val="nil"/>
              <w:tr2bl w:val="nil"/>
            </w:tcBorders>
            <w:vAlign w:val="top"/>
          </w:tcPr>
          <w:p>
            <w:pPr>
              <w:rPr>
                <w:rFonts w:ascii="Arial"/>
              </w:rPr>
            </w:pPr>
          </w:p>
        </w:tc>
        <w:tc>
          <w:tcPr>
            <w:tcW w:w="2164" w:type="dxa"/>
            <w:vMerge w:val="restart"/>
            <w:tcBorders>
              <w:tl2br w:val="nil"/>
              <w:tr2bl w:val="nil"/>
            </w:tcBorders>
            <w:vAlign w:val="top"/>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Borders>
              <w:tl2br w:val="nil"/>
              <w:tr2bl w:val="nil"/>
            </w:tcBorders>
            <w:vAlign w:val="top"/>
          </w:tcPr>
          <w:p>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tcBorders>
              <w:tl2br w:val="nil"/>
              <w:tr2bl w:val="nil"/>
            </w:tcBorders>
            <w:vAlign w:val="top"/>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Borders>
              <w:tl2br w:val="nil"/>
              <w:tr2bl w:val="nil"/>
            </w:tcBorders>
            <w:vAlign w:val="top"/>
          </w:tcPr>
          <w:p>
            <w:pPr>
              <w:rPr>
                <w:rFonts w:ascii="Arial"/>
              </w:rPr>
            </w:pPr>
          </w:p>
        </w:tc>
        <w:tc>
          <w:tcPr>
            <w:tcW w:w="2186" w:type="dxa"/>
            <w:tcBorders>
              <w:tl2br w:val="nil"/>
              <w:tr2bl w:val="nil"/>
            </w:tcBorders>
            <w:vAlign w:val="top"/>
          </w:tcPr>
          <w:p>
            <w:pPr>
              <w:rPr>
                <w:rFonts w:ascii="Arial"/>
              </w:rPr>
            </w:pPr>
          </w:p>
        </w:tc>
        <w:tc>
          <w:tcPr>
            <w:tcW w:w="2596" w:type="dxa"/>
            <w:tcBorders>
              <w:tl2br w:val="nil"/>
              <w:tr2bl w:val="nil"/>
            </w:tcBorders>
            <w:vAlign w:val="top"/>
          </w:tcPr>
          <w:p>
            <w:pPr>
              <w:rPr>
                <w:rFonts w:ascii="Arial"/>
              </w:rPr>
            </w:pPr>
          </w:p>
        </w:tc>
        <w:tc>
          <w:tcPr>
            <w:tcW w:w="2164" w:type="dxa"/>
            <w:vMerge w:val="continue"/>
            <w:tcBorders>
              <w:tl2br w:val="nil"/>
              <w:tr2bl w:val="nil"/>
            </w:tcBorders>
            <w:vAlign w:val="top"/>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Borders>
              <w:tl2br w:val="nil"/>
              <w:tr2bl w:val="nil"/>
            </w:tcBorders>
            <w:vAlign w:val="top"/>
          </w:tcPr>
          <w:p>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tcBorders>
              <w:tl2br w:val="nil"/>
              <w:tr2bl w:val="nil"/>
            </w:tcBorders>
            <w:vAlign w:val="top"/>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Borders>
              <w:tl2br w:val="nil"/>
              <w:tr2bl w:val="nil"/>
            </w:tcBorders>
            <w:vAlign w:val="top"/>
          </w:tcPr>
          <w:p>
            <w:pPr>
              <w:rPr>
                <w:rFonts w:ascii="Arial"/>
              </w:rPr>
            </w:pPr>
          </w:p>
        </w:tc>
        <w:tc>
          <w:tcPr>
            <w:tcW w:w="2186" w:type="dxa"/>
            <w:tcBorders>
              <w:tl2br w:val="nil"/>
              <w:tr2bl w:val="nil"/>
            </w:tcBorders>
            <w:vAlign w:val="top"/>
          </w:tcPr>
          <w:p>
            <w:pPr>
              <w:rPr>
                <w:rFonts w:ascii="Arial"/>
              </w:rPr>
            </w:pPr>
          </w:p>
        </w:tc>
        <w:tc>
          <w:tcPr>
            <w:tcW w:w="2596" w:type="dxa"/>
            <w:tcBorders>
              <w:tl2br w:val="nil"/>
              <w:tr2bl w:val="nil"/>
            </w:tcBorders>
            <w:vAlign w:val="top"/>
          </w:tcPr>
          <w:p>
            <w:pPr>
              <w:rPr>
                <w:rFonts w:ascii="Arial"/>
              </w:rPr>
            </w:pPr>
          </w:p>
        </w:tc>
        <w:tc>
          <w:tcPr>
            <w:tcW w:w="2164" w:type="dxa"/>
            <w:tcBorders>
              <w:tl2br w:val="nil"/>
              <w:tr2bl w:val="nil"/>
            </w:tcBorders>
            <w:vAlign w:val="top"/>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Borders>
              <w:tl2br w:val="nil"/>
              <w:tr2bl w:val="nil"/>
            </w:tcBorders>
            <w:vAlign w:val="top"/>
          </w:tcPr>
          <w:p>
            <w:pPr>
              <w:spacing w:before="247" w:line="183" w:lineRule="auto"/>
              <w:ind w:left="352"/>
              <w:rPr>
                <w:rFonts w:hint="eastAsia" w:ascii="宋体" w:hAnsi="宋体" w:eastAsia="宋体" w:cs="宋体"/>
                <w:szCs w:val="21"/>
                <w:lang w:eastAsia="zh-CN"/>
              </w:rPr>
            </w:pPr>
            <w:r>
              <w:rPr>
                <w:rFonts w:hint="eastAsia" w:ascii="宋体" w:hAnsi="宋体" w:eastAsia="宋体" w:cs="宋体"/>
                <w:szCs w:val="21"/>
                <w:lang w:val="en-US" w:eastAsia="zh-CN"/>
              </w:rPr>
              <w:t>5</w:t>
            </w:r>
          </w:p>
        </w:tc>
        <w:tc>
          <w:tcPr>
            <w:tcW w:w="3530" w:type="dxa"/>
            <w:tcBorders>
              <w:tl2br w:val="nil"/>
              <w:tr2bl w:val="nil"/>
            </w:tcBorders>
            <w:vAlign w:val="top"/>
          </w:tcPr>
          <w:p>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Borders>
              <w:tl2br w:val="nil"/>
              <w:tr2bl w:val="nil"/>
            </w:tcBorders>
            <w:vAlign w:val="top"/>
          </w:tcPr>
          <w:p>
            <w:pPr>
              <w:rPr>
                <w:rFonts w:ascii="Arial"/>
              </w:rPr>
            </w:pPr>
          </w:p>
        </w:tc>
        <w:tc>
          <w:tcPr>
            <w:tcW w:w="2186" w:type="dxa"/>
            <w:tcBorders>
              <w:tl2br w:val="nil"/>
              <w:tr2bl w:val="nil"/>
            </w:tcBorders>
            <w:vAlign w:val="top"/>
          </w:tcPr>
          <w:p>
            <w:pPr>
              <w:rPr>
                <w:rFonts w:ascii="Arial"/>
              </w:rPr>
            </w:pPr>
          </w:p>
        </w:tc>
        <w:tc>
          <w:tcPr>
            <w:tcW w:w="2596" w:type="dxa"/>
            <w:tcBorders>
              <w:tl2br w:val="nil"/>
              <w:tr2bl w:val="nil"/>
            </w:tcBorders>
            <w:vAlign w:val="top"/>
          </w:tcPr>
          <w:p>
            <w:pPr>
              <w:rPr>
                <w:rFonts w:ascii="Arial"/>
              </w:rPr>
            </w:pPr>
          </w:p>
        </w:tc>
        <w:tc>
          <w:tcPr>
            <w:tcW w:w="2164" w:type="dxa"/>
            <w:tcBorders>
              <w:tl2br w:val="nil"/>
              <w:tr2bl w:val="nil"/>
            </w:tcBorders>
            <w:vAlign w:val="top"/>
          </w:tcPr>
          <w:p>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Borders>
              <w:tl2br w:val="nil"/>
              <w:tr2bl w:val="nil"/>
            </w:tcBorders>
            <w:vAlign w:val="top"/>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Borders>
              <w:tl2br w:val="nil"/>
              <w:tr2bl w:val="nil"/>
            </w:tcBorders>
            <w:vAlign w:val="top"/>
          </w:tcPr>
          <w:p>
            <w:pPr>
              <w:spacing w:before="211" w:line="219" w:lineRule="auto"/>
              <w:ind w:firstLine="211" w:firstLineChars="100"/>
              <w:jc w:val="left"/>
              <w:rPr>
                <w:rFonts w:ascii="宋体" w:hAnsi="宋体" w:eastAsia="宋体" w:cs="宋体"/>
                <w:szCs w:val="21"/>
              </w:rPr>
            </w:pPr>
            <w:r>
              <w:rPr>
                <w:rFonts w:ascii="宋体" w:hAnsi="宋体" w:eastAsia="宋体" w:cs="宋体"/>
                <w:b/>
                <w:bCs/>
                <w:szCs w:val="21"/>
              </w:rPr>
              <w:t>总价</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25" w:type="default"/>
          <w:pgSz w:w="16841" w:h="11907"/>
          <w:pgMar w:top="400" w:right="1699" w:bottom="1184" w:left="1481" w:header="0" w:footer="1022" w:gutter="0"/>
          <w:pgBorders>
            <w:top w:val="none" w:sz="0" w:space="0"/>
            <w:left w:val="none" w:sz="0" w:space="0"/>
            <w:bottom w:val="none" w:sz="0" w:space="0"/>
            <w:right w:val="none" w:sz="0" w:space="0"/>
          </w:pgBorders>
          <w:pgNumType w:fmt="decimal"/>
          <w:cols w:space="720" w:num="1"/>
        </w:sectPr>
      </w:pPr>
    </w:p>
    <w:p>
      <w:pPr>
        <w:pStyle w:val="5"/>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
      <w:pPr>
        <w:spacing w:line="20" w:lineRule="exact"/>
      </w:pPr>
    </w:p>
    <w:tbl>
      <w:tblPr>
        <w:tblStyle w:val="135"/>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内容</w:t>
            </w:r>
          </w:p>
        </w:tc>
        <w:tc>
          <w:tcPr>
            <w:tcW w:w="1126" w:type="dxa"/>
            <w:vAlign w:val="center"/>
          </w:tcPr>
          <w:p>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未</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税）</w:t>
            </w:r>
          </w:p>
        </w:tc>
        <w:tc>
          <w:tcPr>
            <w:tcW w:w="1138" w:type="dxa"/>
            <w:vAlign w:val="center"/>
          </w:tcPr>
          <w:p>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合计</w:t>
            </w: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未</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税）</w:t>
            </w:r>
          </w:p>
        </w:tc>
        <w:tc>
          <w:tcPr>
            <w:tcW w:w="3328"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详细说明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1</w:t>
            </w:r>
          </w:p>
        </w:tc>
        <w:tc>
          <w:tcPr>
            <w:tcW w:w="3625" w:type="dxa"/>
            <w:vAlign w:val="center"/>
          </w:tcPr>
          <w:p>
            <w:pPr>
              <w:spacing w:before="266" w:line="221" w:lineRule="auto"/>
              <w:jc w:val="center"/>
              <w:rPr>
                <w:rFonts w:hint="eastAsia" w:ascii="宋体" w:hAnsi="宋体" w:eastAsia="宋体" w:cs="宋体"/>
                <w:kern w:val="2"/>
                <w:sz w:val="21"/>
                <w:szCs w:val="21"/>
                <w:lang w:val="en-US" w:eastAsia="zh-CN" w:bidi="ar-SA"/>
              </w:rPr>
            </w:pPr>
            <w:r>
              <w:rPr>
                <w:rFonts w:ascii="宋体" w:hAnsi="宋体" w:eastAsia="宋体" w:cs="宋体"/>
                <w:spacing w:val="-1"/>
                <w:szCs w:val="21"/>
              </w:rPr>
              <w:t>现场指导安装费</w:t>
            </w:r>
          </w:p>
        </w:tc>
        <w:tc>
          <w:tcPr>
            <w:tcW w:w="1126" w:type="dxa"/>
            <w:vAlign w:val="top"/>
          </w:tcPr>
          <w:p>
            <w:pPr>
              <w:spacing w:before="266" w:line="221" w:lineRule="auto"/>
              <w:jc w:val="center"/>
              <w:rPr>
                <w:rFonts w:hint="eastAsia" w:ascii="宋体" w:hAnsi="宋体" w:eastAsia="宋体" w:cs="宋体"/>
                <w:spacing w:val="-2"/>
                <w:kern w:val="2"/>
                <w:sz w:val="21"/>
                <w:szCs w:val="21"/>
                <w:lang w:val="en-US" w:eastAsia="zh-CN" w:bidi="ar-SA"/>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vAlign w:val="center"/>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 w:hRule="atLeast"/>
        </w:trPr>
        <w:tc>
          <w:tcPr>
            <w:tcW w:w="71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2</w:t>
            </w:r>
          </w:p>
        </w:tc>
        <w:tc>
          <w:tcPr>
            <w:tcW w:w="3625" w:type="dxa"/>
            <w:vAlign w:val="center"/>
          </w:tcPr>
          <w:p>
            <w:pPr>
              <w:spacing w:before="266" w:line="221" w:lineRule="auto"/>
              <w:jc w:val="center"/>
              <w:rPr>
                <w:rFonts w:hint="eastAsia" w:ascii="宋体" w:hAnsi="宋体" w:eastAsia="宋体" w:cs="宋体"/>
                <w:kern w:val="2"/>
                <w:sz w:val="21"/>
                <w:szCs w:val="21"/>
                <w:lang w:val="en-US" w:eastAsia="zh-CN" w:bidi="ar-SA"/>
              </w:rPr>
            </w:pPr>
            <w:r>
              <w:rPr>
                <w:rFonts w:ascii="宋体" w:hAnsi="宋体" w:eastAsia="宋体" w:cs="宋体"/>
                <w:spacing w:val="-1"/>
                <w:szCs w:val="21"/>
              </w:rPr>
              <w:t>现场指导调试、</w:t>
            </w:r>
            <w:r>
              <w:rPr>
                <w:rFonts w:ascii="宋体" w:hAnsi="宋体" w:eastAsia="宋体" w:cs="宋体"/>
                <w:szCs w:val="21"/>
              </w:rPr>
              <w:t>试车</w:t>
            </w:r>
          </w:p>
        </w:tc>
        <w:tc>
          <w:tcPr>
            <w:tcW w:w="1126" w:type="dxa"/>
            <w:vAlign w:val="top"/>
          </w:tcPr>
          <w:p>
            <w:pPr>
              <w:spacing w:before="266" w:line="221" w:lineRule="auto"/>
              <w:jc w:val="center"/>
              <w:rPr>
                <w:rFonts w:hint="eastAsia" w:ascii="宋体" w:hAnsi="宋体" w:eastAsia="宋体" w:cs="宋体"/>
                <w:spacing w:val="-2"/>
                <w:kern w:val="2"/>
                <w:sz w:val="21"/>
                <w:szCs w:val="21"/>
                <w:lang w:val="en-US" w:eastAsia="zh-CN" w:bidi="ar-SA"/>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vAlign w:val="center"/>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3</w:t>
            </w:r>
          </w:p>
        </w:tc>
        <w:tc>
          <w:tcPr>
            <w:tcW w:w="3625" w:type="dxa"/>
            <w:vAlign w:val="center"/>
          </w:tcPr>
          <w:p>
            <w:pPr>
              <w:spacing w:before="266" w:line="221" w:lineRule="auto"/>
              <w:jc w:val="center"/>
              <w:rPr>
                <w:rFonts w:hint="eastAsia" w:ascii="宋体" w:hAnsi="宋体" w:eastAsia="宋体" w:cs="宋体"/>
                <w:kern w:val="2"/>
                <w:sz w:val="21"/>
                <w:szCs w:val="21"/>
                <w:lang w:val="en-US" w:eastAsia="zh-CN" w:bidi="ar-SA"/>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top"/>
          </w:tcPr>
          <w:p>
            <w:pPr>
              <w:spacing w:before="266" w:line="221" w:lineRule="auto"/>
              <w:jc w:val="center"/>
              <w:rPr>
                <w:rFonts w:hint="eastAsia" w:ascii="宋体" w:hAnsi="宋体" w:eastAsia="宋体" w:cs="宋体"/>
                <w:spacing w:val="-2"/>
                <w:kern w:val="2"/>
                <w:sz w:val="21"/>
                <w:szCs w:val="21"/>
                <w:lang w:val="en-US" w:eastAsia="zh-CN" w:bidi="ar-SA"/>
              </w:rPr>
            </w:pPr>
          </w:p>
        </w:tc>
        <w:tc>
          <w:tcPr>
            <w:tcW w:w="1138" w:type="dxa"/>
            <w:vAlign w:val="center"/>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4</w:t>
            </w:r>
          </w:p>
        </w:tc>
        <w:tc>
          <w:tcPr>
            <w:tcW w:w="3625" w:type="dxa"/>
            <w:vAlign w:val="center"/>
          </w:tcPr>
          <w:p>
            <w:pPr>
              <w:spacing w:before="268" w:line="221" w:lineRule="auto"/>
              <w:jc w:val="center"/>
              <w:rPr>
                <w:rFonts w:hint="eastAsia" w:ascii="宋体" w:hAnsi="宋体" w:eastAsia="宋体" w:cs="宋体"/>
                <w:kern w:val="2"/>
                <w:sz w:val="21"/>
                <w:szCs w:val="21"/>
                <w:lang w:val="en-US" w:eastAsia="zh-CN" w:bidi="ar-SA"/>
              </w:rPr>
            </w:pPr>
            <w:r>
              <w:rPr>
                <w:rFonts w:hint="eastAsia" w:ascii="宋体" w:hAnsi="宋体" w:eastAsia="宋体" w:cs="宋体"/>
                <w:spacing w:val="15"/>
                <w:szCs w:val="21"/>
                <w:lang w:val="en-US" w:eastAsia="zh-CN"/>
              </w:rPr>
              <w:t>设计费</w:t>
            </w:r>
          </w:p>
        </w:tc>
        <w:tc>
          <w:tcPr>
            <w:tcW w:w="1126" w:type="dxa"/>
            <w:vAlign w:val="top"/>
          </w:tcPr>
          <w:p>
            <w:pPr>
              <w:spacing w:before="266" w:line="221" w:lineRule="auto"/>
              <w:jc w:val="center"/>
              <w:rPr>
                <w:rFonts w:hint="eastAsia" w:ascii="宋体" w:hAnsi="宋体" w:eastAsia="宋体" w:cs="宋体"/>
                <w:spacing w:val="-2"/>
                <w:kern w:val="2"/>
                <w:sz w:val="21"/>
                <w:szCs w:val="21"/>
                <w:lang w:val="en-US" w:eastAsia="zh-CN" w:bidi="ar-SA"/>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vAlign w:val="center"/>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5</w:t>
            </w:r>
          </w:p>
        </w:tc>
        <w:tc>
          <w:tcPr>
            <w:tcW w:w="362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pacing w:val="-1"/>
                <w:sz w:val="21"/>
                <w:szCs w:val="21"/>
                <w:lang w:val="en-US" w:eastAsia="zh-CN"/>
              </w:rPr>
              <w:t>其它(列出明细)</w:t>
            </w:r>
          </w:p>
        </w:tc>
        <w:tc>
          <w:tcPr>
            <w:tcW w:w="1126" w:type="dxa"/>
            <w:vAlign w:val="top"/>
          </w:tcPr>
          <w:p>
            <w:pPr>
              <w:spacing w:before="266" w:line="221" w:lineRule="auto"/>
              <w:jc w:val="center"/>
              <w:rPr>
                <w:rFonts w:hint="default" w:ascii="宋体" w:hAnsi="宋体" w:eastAsia="宋体" w:cs="宋体"/>
                <w:spacing w:val="-2"/>
                <w:kern w:val="2"/>
                <w:sz w:val="21"/>
                <w:szCs w:val="21"/>
                <w:lang w:val="en-US" w:eastAsia="zh-CN" w:bidi="ar-SA"/>
              </w:rPr>
            </w:pPr>
          </w:p>
        </w:tc>
        <w:tc>
          <w:tcPr>
            <w:tcW w:w="1138" w:type="dxa"/>
            <w:vAlign w:val="center"/>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6</w:t>
            </w:r>
          </w:p>
        </w:tc>
        <w:tc>
          <w:tcPr>
            <w:tcW w:w="362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12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138" w:type="dxa"/>
            <w:vAlign w:val="center"/>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19"/>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26" w:type="default"/>
          <w:pgSz w:w="16841" w:h="11907"/>
          <w:pgMar w:top="400" w:right="1699" w:bottom="1184" w:left="1481" w:header="0" w:footer="1022" w:gutter="0"/>
          <w:pgBorders>
            <w:top w:val="none" w:sz="0" w:space="0"/>
            <w:left w:val="none" w:sz="0" w:space="0"/>
            <w:bottom w:val="none" w:sz="0" w:space="0"/>
            <w:right w:val="none" w:sz="0" w:space="0"/>
          </w:pgBorders>
          <w:pgNumType w:fmt="decimal"/>
          <w:cols w:space="720" w:num="1"/>
        </w:sectPr>
      </w:pPr>
    </w:p>
    <w:p>
      <w:pPr>
        <w:pStyle w:val="5"/>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35"/>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before="0" w:line="221" w:lineRule="auto"/>
              <w:ind w:left="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序号</w:t>
            </w:r>
          </w:p>
        </w:tc>
        <w:tc>
          <w:tcPr>
            <w:tcW w:w="150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before="0" w:line="221" w:lineRule="auto"/>
              <w:ind w:left="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50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未</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税）</w:t>
            </w:r>
          </w:p>
        </w:tc>
        <w:tc>
          <w:tcPr>
            <w:tcW w:w="2133"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合计</w:t>
            </w: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未</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税）</w:t>
            </w:r>
          </w:p>
        </w:tc>
        <w:tc>
          <w:tcPr>
            <w:tcW w:w="1117"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1</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616" w:type="dxa"/>
          </w:tcPr>
          <w:p>
            <w:pPr>
              <w:rPr>
                <w:rFonts w:ascii="Arial"/>
              </w:rPr>
            </w:pPr>
          </w:p>
        </w:tc>
        <w:tc>
          <w:tcPr>
            <w:tcW w:w="1500" w:type="dxa"/>
            <w:vAlign w:val="center"/>
          </w:tcPr>
          <w:p>
            <w:pPr>
              <w:rPr>
                <w:rFonts w:ascii="Arial"/>
              </w:rPr>
            </w:pP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584" w:type="dxa"/>
          </w:tcPr>
          <w:p>
            <w:pPr>
              <w:rPr>
                <w:rFonts w:ascii="Arial"/>
              </w:rPr>
            </w:pPr>
          </w:p>
        </w:tc>
        <w:tc>
          <w:tcPr>
            <w:tcW w:w="1483" w:type="dxa"/>
          </w:tcPr>
          <w:p>
            <w:pPr>
              <w:rPr>
                <w:rFonts w:ascii="Arial"/>
              </w:rPr>
            </w:pPr>
          </w:p>
        </w:tc>
        <w:tc>
          <w:tcPr>
            <w:tcW w:w="2133" w:type="dxa"/>
          </w:tcPr>
          <w:p>
            <w:pPr>
              <w:rPr>
                <w:rFonts w:ascii="Arial"/>
              </w:rPr>
            </w:pPr>
          </w:p>
        </w:tc>
        <w:tc>
          <w:tcPr>
            <w:tcW w:w="1117" w:type="dxa"/>
          </w:tcPr>
          <w:p>
            <w:pPr>
              <w:rPr>
                <w:rFonts w:ascii="Arial"/>
              </w:rPr>
            </w:pPr>
          </w:p>
        </w:tc>
        <w:tc>
          <w:tcPr>
            <w:tcW w:w="1617"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2</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616" w:type="dxa"/>
          </w:tcPr>
          <w:p>
            <w:pPr>
              <w:rPr>
                <w:rFonts w:ascii="Arial"/>
              </w:rPr>
            </w:pPr>
          </w:p>
        </w:tc>
        <w:tc>
          <w:tcPr>
            <w:tcW w:w="1500" w:type="dxa"/>
            <w:vAlign w:val="center"/>
          </w:tcPr>
          <w:p>
            <w:pPr>
              <w:rPr>
                <w:rFonts w:ascii="Arial"/>
              </w:rPr>
            </w:pP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584" w:type="dxa"/>
          </w:tcPr>
          <w:p>
            <w:pPr>
              <w:rPr>
                <w:rFonts w:ascii="Arial"/>
              </w:rPr>
            </w:pPr>
          </w:p>
        </w:tc>
        <w:tc>
          <w:tcPr>
            <w:tcW w:w="1483" w:type="dxa"/>
          </w:tcPr>
          <w:p>
            <w:pPr>
              <w:rPr>
                <w:rFonts w:ascii="Arial"/>
              </w:rPr>
            </w:pPr>
          </w:p>
        </w:tc>
        <w:tc>
          <w:tcPr>
            <w:tcW w:w="2133" w:type="dxa"/>
          </w:tcPr>
          <w:p>
            <w:pPr>
              <w:rPr>
                <w:rFonts w:ascii="Arial"/>
              </w:rPr>
            </w:pPr>
          </w:p>
        </w:tc>
        <w:tc>
          <w:tcPr>
            <w:tcW w:w="1117" w:type="dxa"/>
          </w:tcPr>
          <w:p>
            <w:pPr>
              <w:rPr>
                <w:rFonts w:ascii="Arial"/>
              </w:rPr>
            </w:pPr>
          </w:p>
        </w:tc>
        <w:tc>
          <w:tcPr>
            <w:tcW w:w="1617"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3</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616" w:type="dxa"/>
          </w:tcPr>
          <w:p>
            <w:pPr>
              <w:rPr>
                <w:rFonts w:ascii="Arial"/>
              </w:rPr>
            </w:pPr>
          </w:p>
        </w:tc>
        <w:tc>
          <w:tcPr>
            <w:tcW w:w="1500" w:type="dxa"/>
            <w:vAlign w:val="center"/>
          </w:tcPr>
          <w:p>
            <w:pPr>
              <w:rPr>
                <w:rFonts w:ascii="Arial"/>
              </w:rPr>
            </w:pP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584" w:type="dxa"/>
          </w:tcPr>
          <w:p>
            <w:pPr>
              <w:rPr>
                <w:rFonts w:ascii="Arial"/>
              </w:rPr>
            </w:pPr>
          </w:p>
        </w:tc>
        <w:tc>
          <w:tcPr>
            <w:tcW w:w="1483" w:type="dxa"/>
          </w:tcPr>
          <w:p>
            <w:pPr>
              <w:rPr>
                <w:rFonts w:ascii="Arial"/>
              </w:rPr>
            </w:pPr>
          </w:p>
        </w:tc>
        <w:tc>
          <w:tcPr>
            <w:tcW w:w="2133" w:type="dxa"/>
          </w:tcPr>
          <w:p>
            <w:pPr>
              <w:rPr>
                <w:rFonts w:ascii="Arial"/>
              </w:rPr>
            </w:pPr>
          </w:p>
        </w:tc>
        <w:tc>
          <w:tcPr>
            <w:tcW w:w="1117" w:type="dxa"/>
          </w:tcPr>
          <w:p>
            <w:pPr>
              <w:rPr>
                <w:rFonts w:ascii="Arial"/>
              </w:rPr>
            </w:pPr>
          </w:p>
        </w:tc>
        <w:tc>
          <w:tcPr>
            <w:tcW w:w="1617"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4</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616" w:type="dxa"/>
          </w:tcPr>
          <w:p>
            <w:pPr>
              <w:rPr>
                <w:rFonts w:ascii="Arial"/>
              </w:rPr>
            </w:pPr>
          </w:p>
        </w:tc>
        <w:tc>
          <w:tcPr>
            <w:tcW w:w="1500" w:type="dxa"/>
            <w:vAlign w:val="center"/>
          </w:tcPr>
          <w:p>
            <w:pPr>
              <w:rPr>
                <w:rFonts w:ascii="Arial"/>
              </w:rPr>
            </w:pP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584" w:type="dxa"/>
          </w:tcPr>
          <w:p>
            <w:pPr>
              <w:rPr>
                <w:rFonts w:ascii="Arial"/>
              </w:rPr>
            </w:pPr>
          </w:p>
        </w:tc>
        <w:tc>
          <w:tcPr>
            <w:tcW w:w="1483" w:type="dxa"/>
          </w:tcPr>
          <w:p>
            <w:pPr>
              <w:rPr>
                <w:rFonts w:ascii="Arial"/>
              </w:rPr>
            </w:pPr>
          </w:p>
        </w:tc>
        <w:tc>
          <w:tcPr>
            <w:tcW w:w="2133" w:type="dxa"/>
          </w:tcPr>
          <w:p>
            <w:pPr>
              <w:rPr>
                <w:rFonts w:ascii="Arial"/>
              </w:rPr>
            </w:pPr>
          </w:p>
        </w:tc>
        <w:tc>
          <w:tcPr>
            <w:tcW w:w="1117" w:type="dxa"/>
          </w:tcPr>
          <w:p>
            <w:pPr>
              <w:rPr>
                <w:rFonts w:ascii="Arial"/>
              </w:rPr>
            </w:pPr>
          </w:p>
        </w:tc>
        <w:tc>
          <w:tcPr>
            <w:tcW w:w="1617"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5</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616" w:type="dxa"/>
          </w:tcPr>
          <w:p>
            <w:pPr>
              <w:rPr>
                <w:rFonts w:ascii="Arial"/>
              </w:rPr>
            </w:pPr>
          </w:p>
        </w:tc>
        <w:tc>
          <w:tcPr>
            <w:tcW w:w="1500" w:type="dxa"/>
            <w:vAlign w:val="center"/>
          </w:tcPr>
          <w:p>
            <w:pPr>
              <w:rPr>
                <w:rFonts w:ascii="Arial"/>
              </w:rPr>
            </w:pP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spacing w:val="-1"/>
                <w:sz w:val="21"/>
                <w:szCs w:val="21"/>
                <w:lang w:val="en-US" w:eastAsia="zh-CN"/>
              </w:rPr>
            </w:pPr>
          </w:p>
        </w:tc>
        <w:tc>
          <w:tcPr>
            <w:tcW w:w="1584" w:type="dxa"/>
          </w:tcPr>
          <w:p>
            <w:pPr>
              <w:rPr>
                <w:rFonts w:ascii="Arial"/>
              </w:rPr>
            </w:pPr>
          </w:p>
        </w:tc>
        <w:tc>
          <w:tcPr>
            <w:tcW w:w="1483" w:type="dxa"/>
          </w:tcPr>
          <w:p>
            <w:pPr>
              <w:rPr>
                <w:rFonts w:ascii="Arial"/>
              </w:rPr>
            </w:pPr>
          </w:p>
        </w:tc>
        <w:tc>
          <w:tcPr>
            <w:tcW w:w="2133" w:type="dxa"/>
          </w:tcPr>
          <w:p>
            <w:pPr>
              <w:rPr>
                <w:rFonts w:ascii="Arial"/>
              </w:rPr>
            </w:pPr>
          </w:p>
        </w:tc>
        <w:tc>
          <w:tcPr>
            <w:tcW w:w="1117" w:type="dxa"/>
          </w:tcPr>
          <w:p>
            <w:pPr>
              <w:rPr>
                <w:rFonts w:ascii="Arial"/>
              </w:rPr>
            </w:pPr>
          </w:p>
        </w:tc>
        <w:tc>
          <w:tcPr>
            <w:tcW w:w="1617"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6</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r>
              <w:rPr>
                <w:rFonts w:hint="eastAsia" w:ascii="宋体" w:hAnsi="宋体" w:eastAsia="宋体" w:cs="宋体"/>
                <w:spacing w:val="-1"/>
                <w:sz w:val="21"/>
                <w:szCs w:val="21"/>
                <w:lang w:val="en-US" w:eastAsia="zh-CN"/>
              </w:rPr>
              <w:t>其它(列出明细)</w:t>
            </w:r>
          </w:p>
        </w:tc>
        <w:tc>
          <w:tcPr>
            <w:tcW w:w="1616" w:type="dxa"/>
          </w:tcPr>
          <w:p>
            <w:pPr>
              <w:rPr>
                <w:rFonts w:ascii="Arial"/>
              </w:rPr>
            </w:pPr>
          </w:p>
        </w:tc>
        <w:tc>
          <w:tcPr>
            <w:tcW w:w="1500" w:type="dxa"/>
            <w:vAlign w:val="center"/>
          </w:tcPr>
          <w:p>
            <w:pPr>
              <w:rPr>
                <w:rFonts w:ascii="Arial"/>
              </w:rPr>
            </w:pP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1"/>
                <w:sz w:val="21"/>
                <w:szCs w:val="21"/>
                <w:lang w:val="en-US" w:eastAsia="zh-CN"/>
              </w:rPr>
            </w:pPr>
          </w:p>
        </w:tc>
        <w:tc>
          <w:tcPr>
            <w:tcW w:w="1584" w:type="dxa"/>
          </w:tcPr>
          <w:p>
            <w:pPr>
              <w:rPr>
                <w:rFonts w:ascii="Arial"/>
              </w:rPr>
            </w:pPr>
          </w:p>
        </w:tc>
        <w:tc>
          <w:tcPr>
            <w:tcW w:w="1483" w:type="dxa"/>
          </w:tcPr>
          <w:p>
            <w:pPr>
              <w:rPr>
                <w:rFonts w:ascii="Arial"/>
              </w:rPr>
            </w:pPr>
          </w:p>
        </w:tc>
        <w:tc>
          <w:tcPr>
            <w:tcW w:w="2133" w:type="dxa"/>
          </w:tcPr>
          <w:p>
            <w:pPr>
              <w:rPr>
                <w:rFonts w:ascii="Arial"/>
              </w:rPr>
            </w:pPr>
          </w:p>
        </w:tc>
        <w:tc>
          <w:tcPr>
            <w:tcW w:w="1117" w:type="dxa"/>
          </w:tcPr>
          <w:p>
            <w:pPr>
              <w:rPr>
                <w:rFonts w:ascii="Arial"/>
              </w:rPr>
            </w:pPr>
          </w:p>
        </w:tc>
        <w:tc>
          <w:tcPr>
            <w:tcW w:w="1617"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ascii="宋体" w:hAnsi="宋体" w:eastAsia="宋体" w:cs="宋体"/>
                <w:spacing w:val="-6"/>
                <w:szCs w:val="21"/>
              </w:rPr>
            </w:pPr>
          </w:p>
        </w:tc>
        <w:tc>
          <w:tcPr>
            <w:tcW w:w="4867" w:type="dxa"/>
            <w:gridSpan w:val="3"/>
          </w:tcPr>
          <w:p>
            <w:pPr>
              <w:spacing w:before="207" w:line="219" w:lineRule="auto"/>
              <w:jc w:val="left"/>
              <w:rPr>
                <w:rFonts w:ascii="宋体" w:hAnsi="宋体" w:eastAsia="宋体" w:cs="宋体"/>
                <w:szCs w:val="21"/>
              </w:rPr>
            </w:pPr>
            <w:r>
              <w:rPr>
                <w:rFonts w:ascii="宋体" w:hAnsi="宋体" w:eastAsia="宋体" w:cs="宋体"/>
                <w:b/>
                <w:bCs/>
                <w:szCs w:val="21"/>
              </w:rPr>
              <w:t>总价</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ascii="宋体" w:hAnsi="宋体" w:eastAsia="宋体" w:cs="宋体"/>
          <w:spacing w:val="-2"/>
          <w:sz w:val="24"/>
          <w:szCs w:val="24"/>
        </w:rPr>
        <w:sectPr>
          <w:footerReference r:id="rId27" w:type="default"/>
          <w:pgSz w:w="16841" w:h="11907"/>
          <w:pgMar w:top="400" w:right="1500" w:bottom="1184" w:left="1480" w:header="0" w:footer="1022" w:gutter="0"/>
          <w:pgBorders>
            <w:top w:val="none" w:sz="0" w:space="0"/>
            <w:left w:val="none" w:sz="0" w:space="0"/>
            <w:bottom w:val="none" w:sz="0" w:space="0"/>
            <w:right w:val="none" w:sz="0" w:space="0"/>
          </w:pgBorders>
          <w:pgNumType w:fmt="decimal"/>
          <w:cols w:space="720" w:num="1"/>
        </w:sectPr>
      </w:pPr>
    </w:p>
    <w:p>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135"/>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容</w:t>
            </w:r>
          </w:p>
        </w:tc>
        <w:tc>
          <w:tcPr>
            <w:tcW w:w="3354" w:type="dxa"/>
          </w:tcPr>
          <w:p>
            <w:pPr>
              <w:spacing w:before="276" w:line="219" w:lineRule="auto"/>
              <w:jc w:val="center"/>
              <w:rPr>
                <w:rFonts w:ascii="宋体" w:hAnsi="宋体" w:eastAsia="宋体" w:cs="宋体"/>
                <w:szCs w:val="21"/>
              </w:rPr>
            </w:pPr>
            <w:r>
              <w:rPr>
                <w:rFonts w:hint="eastAsia" w:ascii="宋体" w:hAnsi="宋体" w:eastAsia="宋体" w:cs="宋体"/>
                <w:spacing w:val="18"/>
                <w:szCs w:val="21"/>
                <w:lang w:val="en-US" w:eastAsia="zh-CN"/>
              </w:rPr>
              <w:t>合计</w:t>
            </w: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未</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ascii="Arial"/>
              </w:rPr>
            </w:pPr>
          </w:p>
          <w:p>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不含税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pPr>
              <w:spacing w:before="266" w:line="221" w:lineRule="auto"/>
              <w:jc w:val="center"/>
              <w:rPr>
                <w:rFonts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pPr>
              <w:spacing w:before="266" w:line="221" w:lineRule="auto"/>
              <w:jc w:val="left"/>
              <w:rPr>
                <w:rFonts w:hint="default"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19"/>
      </w:pPr>
    </w:p>
    <w:p>
      <w:pPr>
        <w:pStyle w:val="19"/>
      </w:pPr>
    </w:p>
    <w:p>
      <w:pPr>
        <w:spacing w:before="140" w:line="220" w:lineRule="auto"/>
        <w:ind w:left="2" w:firstLine="464" w:firstLineChars="200"/>
        <w:rPr>
          <w:rFonts w:ascii="宋体" w:hAnsi="宋体" w:eastAsia="宋体" w:cs="宋体"/>
          <w:spacing w:val="-2"/>
          <w:szCs w:val="21"/>
        </w:rPr>
        <w:sectPr>
          <w:footerReference r:id="rId28" w:type="default"/>
          <w:pgSz w:w="16841" w:h="11907"/>
          <w:pgMar w:top="400" w:right="1699" w:bottom="1168" w:left="1481" w:header="0" w:footer="990" w:gutter="0"/>
          <w:pgBorders>
            <w:top w:val="none" w:sz="0" w:space="0"/>
            <w:left w:val="none" w:sz="0" w:space="0"/>
            <w:bottom w:val="none" w:sz="0" w:space="0"/>
            <w:right w:val="none" w:sz="0" w:space="0"/>
          </w:pgBorders>
          <w:pgNumType w:fmt="decimal"/>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8"/>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hint="eastAsia"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2"/>
          <w:u w:val="single"/>
          <w:lang w:eastAsia="zh-CN"/>
        </w:rPr>
        <w:t>新能源产品试验检测中心（二期）技改项目-试验室环保设备设施</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135"/>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eastAsia="宋体"/>
          <w:sz w:val="24"/>
          <w:szCs w:val="24"/>
        </w:rPr>
        <w:sectPr>
          <w:footerReference r:id="rId29" w:type="default"/>
          <w:pgSz w:w="11906" w:h="16839"/>
          <w:pgMar w:top="1431" w:right="1417" w:bottom="1179" w:left="1304" w:header="850" w:footer="992" w:gutter="0"/>
          <w:pgBorders>
            <w:top w:val="none" w:sz="0" w:space="0"/>
            <w:left w:val="none" w:sz="0" w:space="0"/>
            <w:bottom w:val="none" w:sz="0" w:space="0"/>
            <w:right w:val="none" w:sz="0" w:space="0"/>
          </w:pgBorders>
          <w:pgNumType w:fmt="decimal"/>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eastAsia"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szCs w:val="22"/>
          <w:u w:val="single"/>
          <w:lang w:eastAsia="zh-CN"/>
        </w:rPr>
        <w:t>新能源产品试验检测中心（二期）技改项目-试验室环保设备设施</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中国重汽集团济南动力有限公司</w:t>
      </w:r>
      <w:r>
        <w:rPr>
          <w:rFonts w:hint="eastAsia" w:ascii="宋体" w:hAnsi="宋体" w:eastAsia="宋体" w:cs="Times New Roman"/>
          <w:b/>
          <w:bCs/>
          <w:sz w:val="24"/>
          <w:szCs w:val="20"/>
        </w:rPr>
        <w:t>：</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19"/>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1</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eastAsia"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szCs w:val="20"/>
                <w:u w:val="single"/>
              </w:rPr>
              <w:t>新能源产品试验检测中心（二期）技改项目-</w:t>
            </w:r>
            <w:r>
              <w:rPr>
                <w:rFonts w:hint="eastAsia" w:ascii="宋体" w:hAnsi="宋体" w:eastAsia="宋体" w:cs="宋体"/>
                <w:b/>
                <w:szCs w:val="20"/>
                <w:u w:val="single"/>
                <w:lang w:eastAsia="zh-CN"/>
              </w:rPr>
              <w:t>试验室环保设备设施</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rPr>
          <w:rFonts w:asciiTheme="minorEastAsia" w:hAnsiTheme="minorEastAsia" w:cstheme="minorEastAsia"/>
          <w:sz w:val="20"/>
          <w:szCs w:val="20"/>
        </w:rPr>
      </w:pPr>
      <w:r>
        <w:rPr>
          <w:rFonts w:asciiTheme="minorEastAsia" w:hAnsiTheme="minorEastAsia" w:cstheme="minorEastAsia"/>
          <w:sz w:val="20"/>
          <w:szCs w:val="20"/>
        </w:rPr>
        <w:br w:type="page"/>
      </w:r>
    </w:p>
    <w:p>
      <w:pPr>
        <w:pStyle w:val="12"/>
        <w:sectPr>
          <w:headerReference r:id="rId31" w:type="first"/>
          <w:footerReference r:id="rId33" w:type="first"/>
          <w:headerReference r:id="rId30" w:type="default"/>
          <w:footerReference r:id="rId32" w:type="default"/>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pPr>
        <w:outlineLvl w:val="2"/>
        <w:rPr>
          <w:rFonts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附件14技术标评分标准</w:t>
      </w:r>
    </w:p>
    <w:p>
      <w:pPr>
        <w:jc w:val="center"/>
        <w:outlineLvl w:val="2"/>
        <w:rPr>
          <w:rFonts w:ascii="宋体" w:hAnsi="宋体" w:eastAsia="宋体"/>
          <w:b/>
          <w:bCs/>
          <w:color w:val="auto"/>
          <w:sz w:val="28"/>
          <w:szCs w:val="28"/>
        </w:rPr>
      </w:pPr>
      <w:r>
        <w:rPr>
          <w:rFonts w:hint="eastAsia" w:ascii="宋体" w:hAnsi="宋体" w:eastAsia="宋体"/>
          <w:b/>
          <w:bCs/>
          <w:color w:val="auto"/>
          <w:sz w:val="28"/>
          <w:szCs w:val="28"/>
        </w:rPr>
        <w:t>技术标评审表（100分）</w:t>
      </w:r>
    </w:p>
    <w:tbl>
      <w:tblPr>
        <w:tblStyle w:val="38"/>
        <w:tblpPr w:leftFromText="180" w:rightFromText="180" w:vertAnchor="text" w:horzAnchor="page" w:tblpXSpec="center" w:tblpY="197"/>
        <w:tblOverlap w:val="never"/>
        <w:tblW w:w="528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6"/>
        <w:gridCol w:w="743"/>
        <w:gridCol w:w="2384"/>
        <w:gridCol w:w="1517"/>
        <w:gridCol w:w="93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371" w:type="pct"/>
            <w:vAlign w:val="center"/>
          </w:tcPr>
          <w:p>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评审</w:t>
            </w:r>
          </w:p>
          <w:p>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内容</w:t>
            </w:r>
          </w:p>
        </w:tc>
        <w:tc>
          <w:tcPr>
            <w:tcW w:w="245" w:type="pct"/>
            <w:vAlign w:val="center"/>
          </w:tcPr>
          <w:p>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序号</w:t>
            </w:r>
          </w:p>
        </w:tc>
        <w:tc>
          <w:tcPr>
            <w:tcW w:w="786" w:type="pct"/>
            <w:vAlign w:val="center"/>
          </w:tcPr>
          <w:p>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内   容</w:t>
            </w:r>
          </w:p>
        </w:tc>
        <w:tc>
          <w:tcPr>
            <w:tcW w:w="500" w:type="pct"/>
            <w:vAlign w:val="center"/>
          </w:tcPr>
          <w:p>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标准分</w:t>
            </w:r>
          </w:p>
        </w:tc>
        <w:tc>
          <w:tcPr>
            <w:tcW w:w="3095" w:type="pct"/>
            <w:vAlign w:val="center"/>
          </w:tcPr>
          <w:p>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4" w:hRule="atLeast"/>
          <w:jc w:val="center"/>
        </w:trPr>
        <w:tc>
          <w:tcPr>
            <w:tcW w:w="371" w:type="pct"/>
            <w:vMerge w:val="restar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业绩</w:t>
            </w:r>
          </w:p>
        </w:tc>
        <w:tc>
          <w:tcPr>
            <w:tcW w:w="245" w:type="pct"/>
            <w:vMerge w:val="restart"/>
            <w:vAlign w:val="center"/>
          </w:tcPr>
          <w:p>
            <w:pPr>
              <w:adjustRightInd w:val="0"/>
              <w:snapToGrid w:val="0"/>
              <w:jc w:val="left"/>
              <w:rPr>
                <w:rFonts w:hint="eastAsia" w:ascii="仿宋_GB2312" w:hAnsi="仿宋_GB2312" w:cs="仿宋_GB2312"/>
                <w:sz w:val="24"/>
                <w:szCs w:val="18"/>
              </w:rPr>
            </w:pPr>
            <w:r>
              <w:rPr>
                <w:rFonts w:ascii="仿宋_GB2312" w:hAnsi="仿宋_GB2312" w:cs="仿宋_GB2312"/>
                <w:sz w:val="24"/>
                <w:szCs w:val="18"/>
              </w:rPr>
              <w:t>1</w:t>
            </w:r>
          </w:p>
        </w:tc>
        <w:tc>
          <w:tcPr>
            <w:tcW w:w="786"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合同数量及金额</w:t>
            </w:r>
          </w:p>
        </w:tc>
        <w:tc>
          <w:tcPr>
            <w:tcW w:w="500" w:type="pct"/>
            <w:vAlign w:val="center"/>
          </w:tcPr>
          <w:p>
            <w:pPr>
              <w:adjustRightInd w:val="0"/>
              <w:snapToGrid w:val="0"/>
              <w:jc w:val="left"/>
              <w:rPr>
                <w:rFonts w:hint="default" w:ascii="仿宋_GB2312" w:hAnsi="仿宋_GB2312" w:cs="仿宋_GB2312"/>
                <w:sz w:val="24"/>
                <w:szCs w:val="18"/>
                <w:lang w:val="en-US"/>
              </w:rPr>
            </w:pPr>
            <w:r>
              <w:rPr>
                <w:rFonts w:hint="eastAsia" w:ascii="仿宋_GB2312" w:hAnsi="仿宋_GB2312" w:cs="仿宋_GB2312"/>
                <w:sz w:val="24"/>
                <w:szCs w:val="18"/>
                <w:lang w:val="en-US" w:eastAsia="zh-CN"/>
              </w:rPr>
              <w:t>15</w:t>
            </w:r>
          </w:p>
        </w:tc>
        <w:tc>
          <w:tcPr>
            <w:tcW w:w="3095" w:type="pct"/>
            <w:vMerge w:val="restar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投标人提供自20</w:t>
            </w:r>
            <w:r>
              <w:rPr>
                <w:rFonts w:ascii="仿宋_GB2312" w:hAnsi="仿宋_GB2312" w:cs="仿宋_GB2312"/>
                <w:sz w:val="24"/>
                <w:szCs w:val="18"/>
              </w:rPr>
              <w:t>2</w:t>
            </w:r>
            <w:r>
              <w:rPr>
                <w:rFonts w:hint="eastAsia" w:ascii="仿宋_GB2312" w:hAnsi="仿宋_GB2312" w:cs="仿宋_GB2312"/>
                <w:sz w:val="24"/>
                <w:szCs w:val="18"/>
                <w:lang w:val="en-US" w:eastAsia="zh-CN"/>
              </w:rPr>
              <w:t>2</w:t>
            </w:r>
            <w:r>
              <w:rPr>
                <w:rFonts w:hint="eastAsia" w:ascii="仿宋_GB2312" w:hAnsi="仿宋_GB2312" w:cs="仿宋_GB2312"/>
                <w:sz w:val="24"/>
                <w:szCs w:val="18"/>
              </w:rPr>
              <w:t>年1月1日以来与本标同类型的项目业绩（以合同复印件加盖公章为准，时间以签订日期为准）。由评标委员会成员按照20</w:t>
            </w:r>
            <w:r>
              <w:rPr>
                <w:rFonts w:hint="eastAsia" w:ascii="仿宋_GB2312" w:hAnsi="仿宋_GB2312" w:cs="仿宋_GB2312"/>
                <w:sz w:val="24"/>
                <w:szCs w:val="18"/>
                <w:lang w:val="en-US" w:eastAsia="zh-CN"/>
              </w:rPr>
              <w:t>21</w:t>
            </w:r>
            <w:r>
              <w:rPr>
                <w:rFonts w:hint="eastAsia" w:ascii="仿宋_GB2312" w:hAnsi="仿宋_GB2312" w:cs="仿宋_GB2312"/>
                <w:sz w:val="24"/>
                <w:szCs w:val="18"/>
              </w:rPr>
              <w:t>年1月1日以来投入使用的</w:t>
            </w:r>
            <w:r>
              <w:rPr>
                <w:rFonts w:hint="eastAsia" w:ascii="仿宋_GB2312" w:hAnsi="仿宋_GB2312" w:cs="仿宋_GB2312"/>
                <w:sz w:val="24"/>
                <w:szCs w:val="18"/>
                <w:lang w:val="en-US" w:eastAsia="zh-CN"/>
              </w:rPr>
              <w:t>相关</w:t>
            </w:r>
            <w:r>
              <w:rPr>
                <w:rFonts w:hint="eastAsia" w:ascii="仿宋_GB2312" w:hAnsi="仿宋_GB2312" w:cs="仿宋_GB2312"/>
                <w:sz w:val="24"/>
                <w:szCs w:val="18"/>
              </w:rPr>
              <w:t>项目的合同数量及金额、合同相关性两个维度进行打分。</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（1）合同数量1-</w:t>
            </w:r>
            <w:r>
              <w:rPr>
                <w:rFonts w:hint="eastAsia" w:ascii="仿宋_GB2312" w:hAnsi="仿宋_GB2312" w:cs="仿宋_GB2312"/>
                <w:sz w:val="24"/>
                <w:szCs w:val="18"/>
                <w:lang w:val="en-US" w:eastAsia="zh-CN"/>
              </w:rPr>
              <w:t>2</w:t>
            </w:r>
            <w:r>
              <w:rPr>
                <w:rFonts w:hint="eastAsia" w:ascii="仿宋_GB2312" w:hAnsi="仿宋_GB2312" w:cs="仿宋_GB2312"/>
                <w:sz w:val="24"/>
                <w:szCs w:val="18"/>
              </w:rPr>
              <w:t>份：0-3分；合同数量</w:t>
            </w:r>
            <w:r>
              <w:rPr>
                <w:rFonts w:hint="eastAsia" w:ascii="仿宋_GB2312" w:hAnsi="仿宋_GB2312" w:cs="仿宋_GB2312"/>
                <w:sz w:val="24"/>
                <w:szCs w:val="18"/>
                <w:lang w:val="en-US" w:eastAsia="zh-CN"/>
              </w:rPr>
              <w:t>3</w:t>
            </w:r>
            <w:r>
              <w:rPr>
                <w:rFonts w:hint="eastAsia" w:ascii="仿宋_GB2312" w:hAnsi="仿宋_GB2312" w:cs="仿宋_GB2312"/>
                <w:sz w:val="24"/>
                <w:szCs w:val="18"/>
              </w:rPr>
              <w:t>-</w:t>
            </w:r>
            <w:r>
              <w:rPr>
                <w:rFonts w:hint="eastAsia" w:ascii="仿宋_GB2312" w:hAnsi="仿宋_GB2312" w:cs="仿宋_GB2312"/>
                <w:sz w:val="24"/>
                <w:szCs w:val="18"/>
                <w:lang w:val="en-US" w:eastAsia="zh-CN"/>
              </w:rPr>
              <w:t>5</w:t>
            </w:r>
            <w:r>
              <w:rPr>
                <w:rFonts w:hint="eastAsia" w:ascii="仿宋_GB2312" w:hAnsi="仿宋_GB2312" w:cs="仿宋_GB2312"/>
                <w:sz w:val="24"/>
                <w:szCs w:val="18"/>
              </w:rPr>
              <w:t>份：4-</w:t>
            </w:r>
            <w:r>
              <w:rPr>
                <w:rFonts w:hint="eastAsia" w:ascii="仿宋_GB2312" w:hAnsi="仿宋_GB2312" w:cs="仿宋_GB2312"/>
                <w:sz w:val="24"/>
                <w:szCs w:val="18"/>
                <w:lang w:val="en-US" w:eastAsia="zh-CN"/>
              </w:rPr>
              <w:t>6</w:t>
            </w:r>
            <w:r>
              <w:rPr>
                <w:rFonts w:hint="eastAsia" w:ascii="仿宋_GB2312" w:hAnsi="仿宋_GB2312" w:cs="仿宋_GB2312"/>
                <w:sz w:val="24"/>
                <w:szCs w:val="18"/>
              </w:rPr>
              <w:t>分；合同数量</w:t>
            </w:r>
            <w:r>
              <w:rPr>
                <w:rFonts w:hint="eastAsia" w:ascii="仿宋_GB2312" w:hAnsi="仿宋_GB2312" w:cs="仿宋_GB2312"/>
                <w:sz w:val="24"/>
                <w:szCs w:val="18"/>
                <w:lang w:val="en-US" w:eastAsia="zh-CN"/>
              </w:rPr>
              <w:t>5</w:t>
            </w:r>
            <w:r>
              <w:rPr>
                <w:rFonts w:hint="eastAsia" w:ascii="仿宋_GB2312" w:hAnsi="仿宋_GB2312" w:cs="仿宋_GB2312"/>
                <w:sz w:val="24"/>
                <w:szCs w:val="18"/>
              </w:rPr>
              <w:t>-</w:t>
            </w:r>
            <w:r>
              <w:rPr>
                <w:rFonts w:hint="eastAsia" w:ascii="仿宋_GB2312" w:hAnsi="仿宋_GB2312" w:cs="仿宋_GB2312"/>
                <w:sz w:val="24"/>
                <w:szCs w:val="18"/>
                <w:lang w:val="en-US" w:eastAsia="zh-CN"/>
              </w:rPr>
              <w:t>8</w:t>
            </w:r>
            <w:r>
              <w:rPr>
                <w:rFonts w:hint="eastAsia" w:ascii="仿宋_GB2312" w:hAnsi="仿宋_GB2312" w:cs="仿宋_GB2312"/>
                <w:sz w:val="24"/>
                <w:szCs w:val="18"/>
              </w:rPr>
              <w:t>份：</w:t>
            </w:r>
            <w:r>
              <w:rPr>
                <w:rFonts w:hint="eastAsia" w:ascii="仿宋_GB2312" w:hAnsi="仿宋_GB2312" w:cs="仿宋_GB2312"/>
                <w:sz w:val="24"/>
                <w:szCs w:val="18"/>
                <w:lang w:val="en-US" w:eastAsia="zh-CN"/>
              </w:rPr>
              <w:t>7</w:t>
            </w:r>
            <w:r>
              <w:rPr>
                <w:rFonts w:hint="eastAsia" w:ascii="仿宋_GB2312" w:hAnsi="仿宋_GB2312" w:cs="仿宋_GB2312"/>
                <w:sz w:val="24"/>
                <w:szCs w:val="18"/>
              </w:rPr>
              <w:t>-1</w:t>
            </w:r>
            <w:r>
              <w:rPr>
                <w:rFonts w:hint="eastAsia" w:ascii="仿宋_GB2312" w:hAnsi="仿宋_GB2312" w:cs="仿宋_GB2312"/>
                <w:sz w:val="24"/>
                <w:szCs w:val="18"/>
                <w:lang w:val="en-US" w:eastAsia="zh-CN"/>
              </w:rPr>
              <w:t>0</w:t>
            </w:r>
            <w:r>
              <w:rPr>
                <w:rFonts w:hint="eastAsia" w:ascii="仿宋_GB2312" w:hAnsi="仿宋_GB2312" w:cs="仿宋_GB2312"/>
                <w:sz w:val="24"/>
                <w:szCs w:val="18"/>
              </w:rPr>
              <w:t>分；合同数量＞</w:t>
            </w:r>
            <w:r>
              <w:rPr>
                <w:rFonts w:hint="eastAsia" w:ascii="仿宋_GB2312" w:hAnsi="仿宋_GB2312" w:cs="仿宋_GB2312"/>
                <w:sz w:val="24"/>
                <w:szCs w:val="18"/>
                <w:lang w:val="en-US" w:eastAsia="zh-CN"/>
              </w:rPr>
              <w:t>8</w:t>
            </w:r>
            <w:r>
              <w:rPr>
                <w:rFonts w:hint="eastAsia" w:ascii="仿宋_GB2312" w:hAnsi="仿宋_GB2312" w:cs="仿宋_GB2312"/>
                <w:sz w:val="24"/>
                <w:szCs w:val="18"/>
              </w:rPr>
              <w:t>份：</w:t>
            </w:r>
            <w:r>
              <w:rPr>
                <w:rFonts w:hint="eastAsia" w:ascii="仿宋_GB2312" w:hAnsi="仿宋_GB2312" w:cs="仿宋_GB2312"/>
                <w:sz w:val="24"/>
                <w:szCs w:val="18"/>
                <w:lang w:val="en-US" w:eastAsia="zh-CN"/>
              </w:rPr>
              <w:t>11</w:t>
            </w:r>
            <w:r>
              <w:rPr>
                <w:rFonts w:hint="eastAsia" w:ascii="仿宋_GB2312" w:hAnsi="仿宋_GB2312" w:cs="仿宋_GB2312"/>
                <w:sz w:val="24"/>
                <w:szCs w:val="18"/>
              </w:rPr>
              <w:t>-15分。</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（2）合同相关性、投标方知名度：0-5分。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9" w:hRule="atLeast"/>
          <w:jc w:val="center"/>
        </w:trPr>
        <w:tc>
          <w:tcPr>
            <w:tcW w:w="371" w:type="pct"/>
            <w:vMerge w:val="continue"/>
            <w:vAlign w:val="center"/>
          </w:tcPr>
          <w:p>
            <w:pPr>
              <w:adjustRightInd w:val="0"/>
              <w:snapToGrid w:val="0"/>
              <w:jc w:val="left"/>
              <w:rPr>
                <w:rFonts w:hint="eastAsia" w:ascii="仿宋_GB2312" w:hAnsi="仿宋_GB2312" w:cs="仿宋_GB2312"/>
                <w:sz w:val="24"/>
                <w:szCs w:val="18"/>
              </w:rPr>
            </w:pPr>
          </w:p>
        </w:tc>
        <w:tc>
          <w:tcPr>
            <w:tcW w:w="245" w:type="pct"/>
            <w:vMerge w:val="continue"/>
            <w:vAlign w:val="center"/>
          </w:tcPr>
          <w:p>
            <w:pPr>
              <w:adjustRightInd w:val="0"/>
              <w:snapToGrid w:val="0"/>
              <w:jc w:val="left"/>
              <w:rPr>
                <w:rFonts w:hint="eastAsia" w:ascii="仿宋_GB2312" w:hAnsi="仿宋_GB2312" w:cs="仿宋_GB2312"/>
                <w:sz w:val="24"/>
                <w:szCs w:val="18"/>
              </w:rPr>
            </w:pPr>
          </w:p>
        </w:tc>
        <w:tc>
          <w:tcPr>
            <w:tcW w:w="786"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合同相关性</w:t>
            </w:r>
          </w:p>
        </w:tc>
        <w:tc>
          <w:tcPr>
            <w:tcW w:w="500" w:type="pct"/>
            <w:vAlign w:val="center"/>
          </w:tcPr>
          <w:p>
            <w:pPr>
              <w:adjustRightInd w:val="0"/>
              <w:snapToGrid w:val="0"/>
              <w:jc w:val="left"/>
              <w:rPr>
                <w:rFonts w:hint="eastAsia" w:ascii="仿宋_GB2312" w:hAnsi="仿宋_GB2312" w:eastAsia="仿宋_GB2312" w:cs="仿宋_GB2312"/>
                <w:sz w:val="24"/>
                <w:szCs w:val="18"/>
                <w:lang w:val="en-US" w:eastAsia="zh-CN"/>
              </w:rPr>
            </w:pPr>
            <w:r>
              <w:rPr>
                <w:rFonts w:hint="eastAsia" w:ascii="仿宋_GB2312" w:hAnsi="仿宋_GB2312" w:cs="仿宋_GB2312"/>
                <w:sz w:val="24"/>
                <w:szCs w:val="18"/>
                <w:lang w:val="en-US" w:eastAsia="zh-CN"/>
              </w:rPr>
              <w:t>5</w:t>
            </w:r>
          </w:p>
        </w:tc>
        <w:tc>
          <w:tcPr>
            <w:tcW w:w="3095" w:type="pct"/>
            <w:vMerge w:val="continue"/>
            <w:vAlign w:val="center"/>
          </w:tcPr>
          <w:p>
            <w:pPr>
              <w:adjustRightInd w:val="0"/>
              <w:snapToGrid w:val="0"/>
              <w:jc w:val="left"/>
              <w:rPr>
                <w:rFonts w:hint="eastAsia" w:ascii="仿宋_GB2312" w:hAnsi="仿宋_GB2312" w:cs="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jc w:val="center"/>
        </w:trPr>
        <w:tc>
          <w:tcPr>
            <w:tcW w:w="371" w:type="pct"/>
            <w:vMerge w:val="restar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产品技术</w:t>
            </w:r>
          </w:p>
        </w:tc>
        <w:tc>
          <w:tcPr>
            <w:tcW w:w="245" w:type="pct"/>
            <w:vMerge w:val="restar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w:t>
            </w:r>
          </w:p>
        </w:tc>
        <w:tc>
          <w:tcPr>
            <w:tcW w:w="786"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产品方案</w:t>
            </w:r>
          </w:p>
        </w:tc>
        <w:tc>
          <w:tcPr>
            <w:tcW w:w="500" w:type="pct"/>
            <w:vAlign w:val="center"/>
          </w:tcPr>
          <w:p>
            <w:pPr>
              <w:adjustRightInd w:val="0"/>
              <w:snapToGrid w:val="0"/>
              <w:jc w:val="left"/>
              <w:rPr>
                <w:rFonts w:hint="default" w:ascii="仿宋_GB2312" w:hAnsi="仿宋_GB2312" w:cs="仿宋_GB2312"/>
                <w:sz w:val="24"/>
                <w:szCs w:val="18"/>
                <w:lang w:val="en-US"/>
              </w:rPr>
            </w:pPr>
            <w:r>
              <w:rPr>
                <w:rFonts w:hint="eastAsia" w:ascii="仿宋_GB2312" w:hAnsi="仿宋_GB2312" w:cs="仿宋_GB2312"/>
                <w:sz w:val="24"/>
                <w:szCs w:val="18"/>
                <w:lang w:val="en-US" w:eastAsia="zh-CN"/>
              </w:rPr>
              <w:t>10</w:t>
            </w:r>
          </w:p>
        </w:tc>
        <w:tc>
          <w:tcPr>
            <w:tcW w:w="3095" w:type="pct"/>
            <w:vMerge w:val="restar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以下各项由评标委员会成员独立进行客观、公正的评价打分。</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（1）系统方案已达到招标要求且具备自身优势，设备主要核心部件选用</w:t>
            </w:r>
            <w:r>
              <w:rPr>
                <w:rFonts w:hint="eastAsia" w:ascii="仿宋_GB2312" w:hAnsi="仿宋_GB2312" w:cs="仿宋_GB2312"/>
                <w:sz w:val="24"/>
                <w:szCs w:val="18"/>
                <w:lang w:val="en-US" w:eastAsia="zh-CN"/>
              </w:rPr>
              <w:t>国内/</w:t>
            </w:r>
            <w:r>
              <w:rPr>
                <w:rFonts w:hint="eastAsia" w:ascii="仿宋_GB2312" w:hAnsi="仿宋_GB2312" w:cs="仿宋_GB2312"/>
                <w:sz w:val="24"/>
                <w:szCs w:val="18"/>
              </w:rPr>
              <w:t>国际知名品牌，打分</w:t>
            </w:r>
            <w:r>
              <w:rPr>
                <w:rFonts w:ascii="仿宋_GB2312" w:hAnsi="仿宋_GB2312" w:cs="仿宋_GB2312"/>
                <w:sz w:val="24"/>
                <w:szCs w:val="18"/>
              </w:rPr>
              <w:t>0-</w:t>
            </w:r>
            <w:r>
              <w:rPr>
                <w:rFonts w:hint="eastAsia" w:ascii="仿宋_GB2312" w:hAnsi="仿宋_GB2312" w:cs="仿宋_GB2312"/>
                <w:sz w:val="24"/>
                <w:szCs w:val="18"/>
              </w:rPr>
              <w:t>10分；</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（2）系统配置合理，运行可靠，其性能指标、技术水平、可靠性等优势明显，打分</w:t>
            </w:r>
            <w:r>
              <w:rPr>
                <w:rFonts w:ascii="仿宋_GB2312" w:hAnsi="仿宋_GB2312" w:cs="仿宋_GB2312"/>
                <w:sz w:val="24"/>
                <w:szCs w:val="18"/>
              </w:rPr>
              <w:t>0-</w:t>
            </w:r>
            <w:r>
              <w:rPr>
                <w:rFonts w:hint="eastAsia" w:ascii="仿宋_GB2312" w:hAnsi="仿宋_GB2312" w:cs="仿宋_GB2312"/>
                <w:sz w:val="24"/>
                <w:szCs w:val="18"/>
              </w:rPr>
              <w:t>10分；</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（3）企业生产情况，加工设备情况，人员数量与构成，打分0-10分；</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（4）产品相关专利证书，设计人性化，使用方便，打分</w:t>
            </w:r>
            <w:r>
              <w:rPr>
                <w:rFonts w:ascii="仿宋_GB2312" w:hAnsi="仿宋_GB2312" w:cs="仿宋_GB2312"/>
                <w:sz w:val="24"/>
                <w:szCs w:val="18"/>
              </w:rPr>
              <w:t>0-</w:t>
            </w:r>
            <w:r>
              <w:rPr>
                <w:rFonts w:hint="eastAsia" w:ascii="仿宋_GB2312" w:hAnsi="仿宋_GB2312" w:cs="仿宋_GB2312"/>
                <w:sz w:val="24"/>
                <w:szCs w:val="18"/>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jc w:val="center"/>
        </w:trPr>
        <w:tc>
          <w:tcPr>
            <w:tcW w:w="371" w:type="pct"/>
            <w:vMerge w:val="continue"/>
            <w:vAlign w:val="center"/>
          </w:tcPr>
          <w:p>
            <w:pPr>
              <w:adjustRightInd w:val="0"/>
              <w:snapToGrid w:val="0"/>
              <w:jc w:val="left"/>
              <w:rPr>
                <w:rFonts w:hint="eastAsia" w:ascii="仿宋_GB2312" w:hAnsi="仿宋_GB2312" w:cs="仿宋_GB2312"/>
                <w:sz w:val="24"/>
                <w:szCs w:val="18"/>
              </w:rPr>
            </w:pPr>
          </w:p>
        </w:tc>
        <w:tc>
          <w:tcPr>
            <w:tcW w:w="245" w:type="pct"/>
            <w:vMerge w:val="continue"/>
            <w:vAlign w:val="center"/>
          </w:tcPr>
          <w:p>
            <w:pPr>
              <w:adjustRightInd w:val="0"/>
              <w:snapToGrid w:val="0"/>
              <w:jc w:val="left"/>
              <w:rPr>
                <w:rFonts w:hint="eastAsia" w:ascii="仿宋_GB2312" w:hAnsi="仿宋_GB2312" w:cs="仿宋_GB2312"/>
                <w:sz w:val="24"/>
                <w:szCs w:val="18"/>
              </w:rPr>
            </w:pPr>
          </w:p>
        </w:tc>
        <w:tc>
          <w:tcPr>
            <w:tcW w:w="786"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性能参数</w:t>
            </w:r>
          </w:p>
        </w:tc>
        <w:tc>
          <w:tcPr>
            <w:tcW w:w="500" w:type="pct"/>
            <w:vAlign w:val="center"/>
          </w:tcPr>
          <w:p>
            <w:pPr>
              <w:adjustRightInd w:val="0"/>
              <w:snapToGrid w:val="0"/>
              <w:jc w:val="left"/>
              <w:rPr>
                <w:rFonts w:hint="default" w:ascii="仿宋_GB2312" w:hAnsi="仿宋_GB2312" w:eastAsia="仿宋_GB2312" w:cs="仿宋_GB2312"/>
                <w:sz w:val="24"/>
                <w:szCs w:val="18"/>
                <w:lang w:val="en-US" w:eastAsia="zh-CN"/>
              </w:rPr>
            </w:pPr>
            <w:r>
              <w:rPr>
                <w:rFonts w:hint="eastAsia" w:ascii="仿宋_GB2312" w:hAnsi="仿宋_GB2312" w:cs="仿宋_GB2312"/>
                <w:sz w:val="24"/>
                <w:szCs w:val="18"/>
                <w:lang w:val="en-US" w:eastAsia="zh-CN"/>
              </w:rPr>
              <w:t>10</w:t>
            </w:r>
          </w:p>
        </w:tc>
        <w:tc>
          <w:tcPr>
            <w:tcW w:w="3095" w:type="pct"/>
            <w:vMerge w:val="continue"/>
            <w:vAlign w:val="center"/>
          </w:tcPr>
          <w:p>
            <w:pPr>
              <w:adjustRightInd w:val="0"/>
              <w:snapToGrid w:val="0"/>
              <w:jc w:val="left"/>
              <w:rPr>
                <w:rFonts w:hint="eastAsia" w:ascii="仿宋_GB2312" w:hAnsi="仿宋_GB2312" w:cs="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jc w:val="center"/>
        </w:trPr>
        <w:tc>
          <w:tcPr>
            <w:tcW w:w="371" w:type="pct"/>
            <w:vMerge w:val="continue"/>
            <w:vAlign w:val="center"/>
          </w:tcPr>
          <w:p>
            <w:pPr>
              <w:adjustRightInd w:val="0"/>
              <w:snapToGrid w:val="0"/>
              <w:jc w:val="left"/>
              <w:rPr>
                <w:rFonts w:hint="eastAsia" w:ascii="仿宋_GB2312" w:hAnsi="仿宋_GB2312" w:cs="仿宋_GB2312"/>
                <w:sz w:val="24"/>
                <w:szCs w:val="18"/>
              </w:rPr>
            </w:pPr>
          </w:p>
        </w:tc>
        <w:tc>
          <w:tcPr>
            <w:tcW w:w="245" w:type="pct"/>
            <w:vMerge w:val="continue"/>
            <w:vAlign w:val="center"/>
          </w:tcPr>
          <w:p>
            <w:pPr>
              <w:adjustRightInd w:val="0"/>
              <w:snapToGrid w:val="0"/>
              <w:jc w:val="left"/>
              <w:rPr>
                <w:rFonts w:hint="eastAsia" w:ascii="仿宋_GB2312" w:hAnsi="仿宋_GB2312" w:cs="仿宋_GB2312"/>
                <w:sz w:val="24"/>
                <w:szCs w:val="18"/>
              </w:rPr>
            </w:pPr>
          </w:p>
        </w:tc>
        <w:tc>
          <w:tcPr>
            <w:tcW w:w="786"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生产加工</w:t>
            </w:r>
          </w:p>
        </w:tc>
        <w:tc>
          <w:tcPr>
            <w:tcW w:w="500" w:type="pct"/>
            <w:vAlign w:val="center"/>
          </w:tcPr>
          <w:p>
            <w:pPr>
              <w:adjustRightInd w:val="0"/>
              <w:snapToGrid w:val="0"/>
              <w:jc w:val="left"/>
              <w:rPr>
                <w:rFonts w:hint="default" w:ascii="仿宋_GB2312" w:hAnsi="仿宋_GB2312" w:eastAsia="仿宋_GB2312" w:cs="仿宋_GB2312"/>
                <w:sz w:val="24"/>
                <w:szCs w:val="18"/>
                <w:lang w:val="en-US" w:eastAsia="zh-CN"/>
              </w:rPr>
            </w:pPr>
            <w:r>
              <w:rPr>
                <w:rFonts w:hint="eastAsia" w:ascii="仿宋_GB2312" w:hAnsi="仿宋_GB2312" w:cs="仿宋_GB2312"/>
                <w:sz w:val="24"/>
                <w:szCs w:val="18"/>
                <w:lang w:val="en-US" w:eastAsia="zh-CN"/>
              </w:rPr>
              <w:t>10</w:t>
            </w:r>
          </w:p>
        </w:tc>
        <w:tc>
          <w:tcPr>
            <w:tcW w:w="3095" w:type="pct"/>
            <w:vMerge w:val="continue"/>
            <w:vAlign w:val="center"/>
          </w:tcPr>
          <w:p>
            <w:pPr>
              <w:adjustRightInd w:val="0"/>
              <w:snapToGrid w:val="0"/>
              <w:jc w:val="left"/>
              <w:rPr>
                <w:rFonts w:hint="eastAsia" w:ascii="仿宋_GB2312" w:hAnsi="仿宋_GB2312" w:cs="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jc w:val="center"/>
        </w:trPr>
        <w:tc>
          <w:tcPr>
            <w:tcW w:w="371" w:type="pct"/>
            <w:vMerge w:val="continue"/>
            <w:vAlign w:val="center"/>
          </w:tcPr>
          <w:p>
            <w:pPr>
              <w:adjustRightInd w:val="0"/>
              <w:snapToGrid w:val="0"/>
              <w:jc w:val="left"/>
              <w:rPr>
                <w:rFonts w:hint="eastAsia" w:ascii="仿宋_GB2312" w:hAnsi="仿宋_GB2312" w:cs="仿宋_GB2312"/>
                <w:sz w:val="24"/>
                <w:szCs w:val="18"/>
              </w:rPr>
            </w:pPr>
          </w:p>
        </w:tc>
        <w:tc>
          <w:tcPr>
            <w:tcW w:w="245" w:type="pct"/>
            <w:vMerge w:val="continue"/>
            <w:vAlign w:val="center"/>
          </w:tcPr>
          <w:p>
            <w:pPr>
              <w:adjustRightInd w:val="0"/>
              <w:snapToGrid w:val="0"/>
              <w:jc w:val="left"/>
              <w:rPr>
                <w:rFonts w:hint="eastAsia" w:ascii="仿宋_GB2312" w:hAnsi="仿宋_GB2312" w:cs="仿宋_GB2312"/>
                <w:sz w:val="24"/>
                <w:szCs w:val="18"/>
              </w:rPr>
            </w:pPr>
          </w:p>
        </w:tc>
        <w:tc>
          <w:tcPr>
            <w:tcW w:w="786"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专利证书</w:t>
            </w:r>
          </w:p>
        </w:tc>
        <w:tc>
          <w:tcPr>
            <w:tcW w:w="500" w:type="pct"/>
            <w:vAlign w:val="center"/>
          </w:tcPr>
          <w:p>
            <w:pPr>
              <w:adjustRightInd w:val="0"/>
              <w:snapToGrid w:val="0"/>
              <w:jc w:val="left"/>
              <w:rPr>
                <w:rFonts w:hint="default" w:ascii="仿宋_GB2312" w:hAnsi="仿宋_GB2312" w:eastAsia="仿宋_GB2312" w:cs="仿宋_GB2312"/>
                <w:sz w:val="24"/>
                <w:szCs w:val="18"/>
                <w:lang w:val="en-US" w:eastAsia="zh-CN"/>
              </w:rPr>
            </w:pPr>
            <w:r>
              <w:rPr>
                <w:rFonts w:hint="eastAsia" w:ascii="仿宋_GB2312" w:hAnsi="仿宋_GB2312" w:cs="仿宋_GB2312"/>
                <w:sz w:val="24"/>
                <w:szCs w:val="18"/>
                <w:lang w:val="en-US" w:eastAsia="zh-CN"/>
              </w:rPr>
              <w:t>10</w:t>
            </w:r>
          </w:p>
        </w:tc>
        <w:tc>
          <w:tcPr>
            <w:tcW w:w="3095" w:type="pct"/>
            <w:vMerge w:val="continue"/>
            <w:vAlign w:val="center"/>
          </w:tcPr>
          <w:p>
            <w:pPr>
              <w:adjustRightInd w:val="0"/>
              <w:snapToGrid w:val="0"/>
              <w:jc w:val="left"/>
              <w:rPr>
                <w:rFonts w:hint="eastAsia" w:ascii="仿宋_GB2312" w:hAnsi="仿宋_GB2312" w:cs="仿宋_GB2312"/>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6" w:hRule="atLeast"/>
          <w:jc w:val="center"/>
        </w:trPr>
        <w:tc>
          <w:tcPr>
            <w:tcW w:w="371"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答疑</w:t>
            </w:r>
          </w:p>
        </w:tc>
        <w:tc>
          <w:tcPr>
            <w:tcW w:w="245"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3</w:t>
            </w:r>
          </w:p>
        </w:tc>
        <w:tc>
          <w:tcPr>
            <w:tcW w:w="786"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现场答疑</w:t>
            </w:r>
          </w:p>
        </w:tc>
        <w:tc>
          <w:tcPr>
            <w:tcW w:w="500"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20</w:t>
            </w:r>
          </w:p>
        </w:tc>
        <w:tc>
          <w:tcPr>
            <w:tcW w:w="3095"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（1）投标人对投标方案、技术优势的讲解，以及就该项目难点回答评标专家现场提问，打分</w:t>
            </w:r>
            <w:r>
              <w:rPr>
                <w:rFonts w:ascii="仿宋_GB2312" w:hAnsi="仿宋_GB2312" w:cs="仿宋_GB2312"/>
                <w:sz w:val="24"/>
                <w:szCs w:val="18"/>
              </w:rPr>
              <w:t>0-</w:t>
            </w:r>
            <w:r>
              <w:rPr>
                <w:rFonts w:hint="eastAsia" w:ascii="仿宋_GB2312" w:hAnsi="仿宋_GB2312" w:cs="仿宋_GB2312"/>
                <w:sz w:val="24"/>
                <w:szCs w:val="18"/>
              </w:rPr>
              <w:t>15分。</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（2）是否了解招标方现有设备配置</w:t>
            </w:r>
            <w:r>
              <w:rPr>
                <w:rFonts w:hint="eastAsia" w:ascii="仿宋_GB2312" w:hAnsi="仿宋_GB2312" w:cs="仿宋_GB2312"/>
                <w:sz w:val="24"/>
                <w:szCs w:val="18"/>
                <w:lang w:val="en-US" w:eastAsia="zh-CN"/>
              </w:rPr>
              <w:t>等情况</w:t>
            </w:r>
            <w:r>
              <w:rPr>
                <w:rFonts w:hint="eastAsia" w:ascii="仿宋_GB2312" w:hAnsi="仿宋_GB2312" w:cs="仿宋_GB2312"/>
                <w:sz w:val="24"/>
                <w:szCs w:val="18"/>
              </w:rPr>
              <w:t>，打分</w:t>
            </w:r>
            <w:r>
              <w:rPr>
                <w:rFonts w:ascii="仿宋_GB2312" w:hAnsi="仿宋_GB2312" w:cs="仿宋_GB2312"/>
                <w:sz w:val="24"/>
                <w:szCs w:val="18"/>
              </w:rPr>
              <w:t>0-</w:t>
            </w:r>
            <w:r>
              <w:rPr>
                <w:rFonts w:hint="eastAsia" w:ascii="仿宋_GB2312" w:hAnsi="仿宋_GB2312" w:cs="仿宋_GB2312"/>
                <w:sz w:val="24"/>
                <w:szCs w:val="18"/>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8" w:hRule="atLeast"/>
          <w:jc w:val="center"/>
        </w:trPr>
        <w:tc>
          <w:tcPr>
            <w:tcW w:w="371"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技术偏离</w:t>
            </w:r>
          </w:p>
        </w:tc>
        <w:tc>
          <w:tcPr>
            <w:tcW w:w="245"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4</w:t>
            </w:r>
          </w:p>
        </w:tc>
        <w:tc>
          <w:tcPr>
            <w:tcW w:w="786"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技术偏离</w:t>
            </w:r>
          </w:p>
        </w:tc>
        <w:tc>
          <w:tcPr>
            <w:tcW w:w="500"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10</w:t>
            </w:r>
          </w:p>
        </w:tc>
        <w:tc>
          <w:tcPr>
            <w:tcW w:w="3095"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根据各投标人的核心产品的配置参数、技术偏离情况，在满足我司技术基本要求的前提下偏离。由评标委员会成员独立进行客观、公正的评价打分。</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（1）无负偏离得6分；</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一般偏离一项扣2分，较大偏离一项扣4分，最低</w:t>
            </w:r>
            <w:r>
              <w:rPr>
                <w:rFonts w:ascii="仿宋_GB2312" w:hAnsi="仿宋_GB2312" w:cs="仿宋_GB2312"/>
                <w:sz w:val="24"/>
                <w:szCs w:val="18"/>
              </w:rPr>
              <w:t>0</w:t>
            </w:r>
            <w:r>
              <w:rPr>
                <w:rFonts w:hint="eastAsia" w:ascii="仿宋_GB2312" w:hAnsi="仿宋_GB2312" w:cs="仿宋_GB2312"/>
                <w:sz w:val="24"/>
                <w:szCs w:val="18"/>
              </w:rPr>
              <w:t>分；</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（2）实质性正偏离，一项加2分，最高4分。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0" w:hRule="atLeast"/>
          <w:jc w:val="center"/>
        </w:trPr>
        <w:tc>
          <w:tcPr>
            <w:tcW w:w="371" w:type="pct"/>
            <w:vMerge w:val="restar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售后及服务</w:t>
            </w:r>
          </w:p>
        </w:tc>
        <w:tc>
          <w:tcPr>
            <w:tcW w:w="245"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5</w:t>
            </w:r>
          </w:p>
        </w:tc>
        <w:tc>
          <w:tcPr>
            <w:tcW w:w="786"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技术培训</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方案</w:t>
            </w:r>
          </w:p>
        </w:tc>
        <w:tc>
          <w:tcPr>
            <w:tcW w:w="500"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2</w:t>
            </w:r>
          </w:p>
        </w:tc>
        <w:tc>
          <w:tcPr>
            <w:tcW w:w="3095"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根据投标人技术培训方案的科学、合理、可行进行打分，0-2分。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 w:hRule="atLeast"/>
          <w:jc w:val="center"/>
        </w:trPr>
        <w:tc>
          <w:tcPr>
            <w:tcW w:w="371" w:type="pct"/>
            <w:vMerge w:val="continue"/>
            <w:vAlign w:val="center"/>
          </w:tcPr>
          <w:p>
            <w:pPr>
              <w:adjustRightInd w:val="0"/>
              <w:snapToGrid w:val="0"/>
              <w:jc w:val="left"/>
              <w:rPr>
                <w:rFonts w:hint="eastAsia" w:ascii="仿宋_GB2312" w:hAnsi="仿宋_GB2312" w:cs="仿宋_GB2312"/>
                <w:sz w:val="24"/>
                <w:szCs w:val="18"/>
              </w:rPr>
            </w:pPr>
          </w:p>
        </w:tc>
        <w:tc>
          <w:tcPr>
            <w:tcW w:w="245"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6</w:t>
            </w:r>
          </w:p>
        </w:tc>
        <w:tc>
          <w:tcPr>
            <w:tcW w:w="786" w:type="pct"/>
            <w:shd w:val="clear" w:color="auto" w:fill="auto"/>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售后技术</w:t>
            </w:r>
          </w:p>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力量</w:t>
            </w:r>
          </w:p>
        </w:tc>
        <w:tc>
          <w:tcPr>
            <w:tcW w:w="500" w:type="pct"/>
            <w:shd w:val="clear" w:color="auto" w:fill="auto"/>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5</w:t>
            </w:r>
          </w:p>
        </w:tc>
        <w:tc>
          <w:tcPr>
            <w:tcW w:w="3095" w:type="pct"/>
            <w:shd w:val="clear" w:color="auto" w:fill="auto"/>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根据投标人在</w:t>
            </w:r>
            <w:r>
              <w:rPr>
                <w:rFonts w:hint="eastAsia" w:ascii="仿宋_GB2312" w:hAnsi="仿宋_GB2312" w:cs="仿宋_GB2312"/>
                <w:sz w:val="24"/>
                <w:szCs w:val="18"/>
                <w:lang w:val="en-US" w:eastAsia="zh-CN"/>
              </w:rPr>
              <w:t>山东省内</w:t>
            </w:r>
            <w:r>
              <w:rPr>
                <w:rFonts w:hint="eastAsia" w:ascii="仿宋_GB2312" w:hAnsi="仿宋_GB2312" w:cs="仿宋_GB2312"/>
                <w:sz w:val="24"/>
                <w:szCs w:val="18"/>
              </w:rPr>
              <w:t>常驻专业技术力量的维保</w:t>
            </w:r>
            <w:r>
              <w:rPr>
                <w:rFonts w:hint="eastAsia" w:ascii="仿宋_GB2312" w:hAnsi="仿宋_GB2312" w:cs="仿宋_GB2312"/>
                <w:sz w:val="24"/>
                <w:szCs w:val="18"/>
                <w:lang w:val="en-US" w:eastAsia="zh-CN"/>
              </w:rPr>
              <w:t>人员</w:t>
            </w:r>
            <w:r>
              <w:rPr>
                <w:rFonts w:hint="eastAsia" w:ascii="仿宋_GB2312" w:hAnsi="仿宋_GB2312" w:cs="仿宋_GB2312"/>
                <w:sz w:val="24"/>
                <w:szCs w:val="18"/>
              </w:rPr>
              <w:t>数量进行打分，0-5分。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371" w:type="pct"/>
            <w:vMerge w:val="continue"/>
            <w:vAlign w:val="center"/>
          </w:tcPr>
          <w:p>
            <w:pPr>
              <w:adjustRightInd w:val="0"/>
              <w:snapToGrid w:val="0"/>
              <w:jc w:val="left"/>
              <w:rPr>
                <w:rFonts w:hint="eastAsia" w:ascii="仿宋_GB2312" w:hAnsi="仿宋_GB2312" w:cs="仿宋_GB2312"/>
                <w:sz w:val="24"/>
                <w:szCs w:val="18"/>
              </w:rPr>
            </w:pPr>
          </w:p>
        </w:tc>
        <w:tc>
          <w:tcPr>
            <w:tcW w:w="245" w:type="pct"/>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7</w:t>
            </w:r>
          </w:p>
        </w:tc>
        <w:tc>
          <w:tcPr>
            <w:tcW w:w="786" w:type="pct"/>
            <w:shd w:val="clear" w:color="auto" w:fill="auto"/>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售后响应时间</w:t>
            </w:r>
          </w:p>
        </w:tc>
        <w:tc>
          <w:tcPr>
            <w:tcW w:w="500" w:type="pct"/>
            <w:shd w:val="clear" w:color="auto" w:fill="auto"/>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3</w:t>
            </w:r>
          </w:p>
        </w:tc>
        <w:tc>
          <w:tcPr>
            <w:tcW w:w="3095" w:type="pct"/>
            <w:shd w:val="clear" w:color="auto" w:fill="auto"/>
            <w:vAlign w:val="center"/>
          </w:tcPr>
          <w:p>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根据投标人售后服务的承诺和具体的保证措施，承诺到现场的响应时间进行打分，0-3分。</w:t>
            </w:r>
          </w:p>
        </w:tc>
      </w:tr>
    </w:tbl>
    <w:p>
      <w:pPr>
        <w:spacing w:line="360" w:lineRule="auto"/>
        <w:ind w:firstLine="482" w:firstLineChars="200"/>
        <w:rPr>
          <w:rFonts w:hint="eastAsia" w:ascii="宋体" w:hAnsi="宋体" w:eastAsia="宋体" w:cs="宋体"/>
          <w:b/>
          <w:bCs/>
          <w:color w:val="auto"/>
          <w:sz w:val="24"/>
          <w:szCs w:val="24"/>
        </w:rPr>
      </w:pPr>
    </w:p>
    <w:p>
      <w:pPr>
        <w:spacing w:line="360" w:lineRule="auto"/>
        <w:ind w:firstLine="482" w:firstLineChars="200"/>
        <w:rPr>
          <w:rFonts w:hint="eastAsia" w:ascii="宋体" w:hAnsi="宋体" w:eastAsia="宋体" w:cs="宋体"/>
          <w:color w:val="auto"/>
          <w:sz w:val="24"/>
          <w:szCs w:val="24"/>
        </w:rPr>
      </w:pPr>
      <w:r>
        <w:rPr>
          <w:rFonts w:hint="eastAsia" w:ascii="宋体" w:hAnsi="宋体" w:eastAsia="宋体" w:cs="宋体"/>
          <w:b/>
          <w:bCs/>
          <w:color w:val="auto"/>
          <w:sz w:val="24"/>
          <w:szCs w:val="24"/>
        </w:rPr>
        <w:t>技术标80分及以上推荐入围商务标阶段</w:t>
      </w:r>
      <w:r>
        <w:rPr>
          <w:rFonts w:hint="eastAsia" w:ascii="宋体" w:hAnsi="宋体" w:eastAsia="宋体" w:cs="宋体"/>
          <w:color w:val="auto"/>
          <w:sz w:val="24"/>
          <w:szCs w:val="24"/>
        </w:rPr>
        <w:t>，评标过程中必须确保推荐的入围候选中标人，在功能、质量、先进性、业绩等方面均符合招标标准要求。</w:t>
      </w:r>
    </w:p>
    <w:p>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评标方法</w:t>
      </w:r>
    </w:p>
    <w:p>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b、评委打分超过得分界限或未按本方法赋分时，该评委的打分按废票处理。</w:t>
      </w:r>
    </w:p>
    <w:p>
      <w:pPr>
        <w:pStyle w:val="3"/>
        <w:ind w:firstLine="480" w:firstLineChars="200"/>
      </w:pPr>
      <w:r>
        <w:rPr>
          <w:rFonts w:hint="eastAsia" w:ascii="宋体" w:hAnsi="宋体" w:cs="宋体"/>
          <w:b w:val="0"/>
          <w:bCs w:val="0"/>
          <w:color w:val="000000"/>
          <w:szCs w:val="24"/>
        </w:rPr>
        <w:t>c、评标过程中，若出现本办法以外的特殊情况时，将暂停评标，有关情况处理意见待招标工作小组确认后，再行评定。</w:t>
      </w:r>
    </w:p>
    <w:p/>
    <w:p>
      <w:pPr>
        <w:sectPr>
          <w:pgSz w:w="16838" w:h="11906" w:orient="landscape"/>
          <w:pgMar w:top="1417" w:right="1588" w:bottom="1417" w:left="1134" w:header="851" w:footer="992" w:gutter="0"/>
          <w:pgBorders>
            <w:top w:val="none" w:sz="0" w:space="0"/>
            <w:left w:val="none" w:sz="0" w:space="0"/>
            <w:bottom w:val="none" w:sz="0" w:space="0"/>
            <w:right w:val="none" w:sz="0" w:space="0"/>
          </w:pgBorders>
          <w:pgNumType w:fmt="decimal"/>
          <w:cols w:space="0" w:num="1"/>
          <w:titlePg/>
          <w:rtlGutter w:val="0"/>
          <w:docGrid w:type="lines" w:linePitch="312" w:charSpace="0"/>
        </w:sectPr>
      </w:pPr>
    </w:p>
    <w:p>
      <w:pPr>
        <w:rPr>
          <w:rFonts w:hint="eastAsia" w:ascii="宋体" w:hAnsi="宋体" w:eastAsia="宋体" w:cs="宋体"/>
          <w:b/>
          <w:bCs/>
          <w:color w:val="000000"/>
          <w:sz w:val="24"/>
          <w:szCs w:val="24"/>
          <w:lang w:val="en-US" w:eastAsia="zh-CN"/>
        </w:rPr>
      </w:pPr>
      <w:r>
        <w:rPr>
          <w:rFonts w:hint="eastAsia" w:hAnsi="宋体" w:eastAsia="宋体" w:cs="宋体"/>
          <w:b/>
          <w:bCs/>
          <w:color w:val="000000"/>
          <w:sz w:val="24"/>
          <w:szCs w:val="24"/>
          <w:lang w:val="en-US" w:eastAsia="zh-CN"/>
        </w:rPr>
        <w:t>附件15</w:t>
      </w:r>
      <w:r>
        <w:rPr>
          <w:rFonts w:hint="eastAsia" w:ascii="宋体" w:hAnsi="宋体" w:eastAsia="宋体" w:cs="宋体"/>
          <w:b/>
          <w:bCs/>
          <w:color w:val="000000"/>
          <w:sz w:val="24"/>
          <w:szCs w:val="24"/>
          <w:lang w:val="en-US" w:eastAsia="zh-CN"/>
        </w:rPr>
        <w:t xml:space="preserve"> SRM非生产供应商注册操作手册</w:t>
      </w:r>
    </w:p>
    <w:p>
      <w:pPr>
        <w:pStyle w:val="19"/>
        <w:rPr>
          <w:rFonts w:hint="eastAsia" w:eastAsia="宋体"/>
          <w:lang w:val="en-US" w:eastAsia="zh-CN"/>
        </w:rPr>
      </w:pP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http://ecaitong.sinotruk.com:8012/#/login</w:t>
      </w:r>
      <w:r>
        <w:rPr>
          <w:rFonts w:ascii="宋体" w:hAnsi="宋体" w:eastAsia="宋体" w:cs="宋体"/>
          <w:sz w:val="24"/>
          <w:szCs w:val="24"/>
        </w:rPr>
        <w:fldChar w:fldCharType="end"/>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pPr>
        <w:snapToGrid w:val="0"/>
        <w:spacing w:line="312" w:lineRule="auto"/>
      </w:pPr>
      <w: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1"/>
                    <a:stretch>
                      <a:fillRect/>
                    </a:stretch>
                  </pic:blipFill>
                  <pic:spPr>
                    <a:xfrm>
                      <a:off x="0" y="0"/>
                      <a:ext cx="5760085" cy="2933377"/>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pPr>
        <w:snapToGrid w:val="0"/>
        <w:spacing w:line="312" w:lineRule="auto"/>
      </w:pPr>
      <w: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2"/>
                    <a:stretch>
                      <a:fillRect/>
                    </a:stretch>
                  </pic:blipFill>
                  <pic:spPr>
                    <a:xfrm>
                      <a:off x="0" y="0"/>
                      <a:ext cx="5760085" cy="2766707"/>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pPr>
        <w:snapToGrid w:val="0"/>
        <w:spacing w:line="312" w:lineRule="auto"/>
      </w:pPr>
      <w:r>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3"/>
                    <a:stretch>
                      <a:fillRect/>
                    </a:stretch>
                  </pic:blipFill>
                  <pic:spPr>
                    <a:xfrm>
                      <a:off x="0" y="0"/>
                      <a:ext cx="5760085" cy="2870054"/>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pPr>
        <w:snapToGrid w:val="0"/>
        <w:spacing w:line="312" w:lineRule="auto"/>
      </w:pPr>
      <w: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4"/>
                    <a:stretch>
                      <a:fillRect/>
                    </a:stretch>
                  </pic:blipFill>
                  <pic:spPr>
                    <a:xfrm>
                      <a:off x="0" y="0"/>
                      <a:ext cx="5760085" cy="2853375"/>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pPr>
        <w:numPr>
          <w:ilvl w:val="0"/>
          <w:numId w:val="0"/>
        </w:numPr>
        <w:outlineLvl w:val="9"/>
        <w:rPr>
          <w:rFonts w:hint="eastAsia" w:ascii="宋体" w:hAnsi="宋体" w:eastAsia="宋体" w:cs="宋体"/>
          <w:b/>
          <w:bCs/>
          <w:lang w:val="en-US" w:eastAsia="zh-CN"/>
        </w:rPr>
      </w:pPr>
      <w:r>
        <w:rPr>
          <w:rFonts w:hint="eastAsia" w:ascii="宋体" w:hAnsi="宋体" w:eastAsia="宋体" w:cs="宋体"/>
          <w:b/>
          <w:bCs/>
          <w:lang w:val="en-US" w:eastAsia="zh-CN"/>
        </w:rPr>
        <w:t>审批通过后，注意记录本单位的“供应商代码”，代码用于登录系统后应标。登录信息如下：</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2（注册成功后，请立即修改密码）</w:t>
      </w:r>
    </w:p>
    <w:p>
      <w:pPr>
        <w:pStyle w:val="19"/>
        <w:rPr>
          <w:rFonts w:hint="default"/>
          <w:lang w:val="en-US" w:eastAsia="zh-CN"/>
        </w:rPr>
      </w:pPr>
    </w:p>
    <w:p>
      <w:pPr>
        <w:snapToGrid/>
        <w:spacing w:before="0" w:after="0" w:line="240" w:lineRule="auto"/>
        <w:ind w:left="0" w:right="0" w:firstLine="0"/>
        <w:jc w:val="both"/>
      </w:pPr>
      <w:r>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5"/>
                    <a:stretch>
                      <a:fillRect/>
                    </a:stretch>
                  </pic:blipFill>
                  <pic:spPr>
                    <a:xfrm>
                      <a:off x="0" y="0"/>
                      <a:ext cx="5760085" cy="2810122"/>
                    </a:xfrm>
                    <a:prstGeom prst="rect">
                      <a:avLst/>
                    </a:prstGeom>
                  </pic:spPr>
                </pic:pic>
              </a:graphicData>
            </a:graphic>
          </wp:inline>
        </w:drawing>
      </w:r>
    </w:p>
    <w:p>
      <w:pPr>
        <w:pStyle w:val="19"/>
      </w:pPr>
      <w: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6"/>
                    <a:stretch>
                      <a:fillRect/>
                    </a:stretch>
                  </pic:blipFill>
                  <pic:spPr>
                    <a:xfrm>
                      <a:off x="0" y="0"/>
                      <a:ext cx="5760085" cy="2820042"/>
                    </a:xfrm>
                    <a:prstGeom prst="rect">
                      <a:avLst/>
                    </a:prstGeom>
                  </pic:spPr>
                </pic:pic>
              </a:graphicData>
            </a:graphic>
          </wp:inline>
        </w:drawing>
      </w:r>
    </w:p>
    <w:p>
      <w:pPr>
        <w:pStyle w:val="19"/>
      </w:pPr>
    </w:p>
    <w:p>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pPr>
        <w:pStyle w:val="19"/>
        <w:rPr>
          <w:rFonts w:hint="eastAsia" w:eastAsia="宋体"/>
          <w:lang w:eastAsia="zh-CN"/>
        </w:rPr>
        <w:sectPr>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r>
        <w:rPr>
          <w:rFonts w:hint="eastAsia" w:hAnsi="宋体" w:eastAsia="宋体" w:cs="宋体"/>
          <w:b/>
          <w:bCs/>
          <w:i w:val="0"/>
          <w:strike w:val="0"/>
          <w:color w:val="000000"/>
          <w:sz w:val="24"/>
          <w:szCs w:val="28"/>
          <w:highlight w:val="yellow"/>
          <w:u w:val="none"/>
          <w:lang w:val="en-US" w:eastAsia="zh-CN"/>
        </w:rPr>
        <w:t>。</w:t>
      </w:r>
    </w:p>
    <w:p>
      <w:pPr>
        <w:pStyle w:val="19"/>
        <w:outlineLvl w:val="2"/>
        <w:rPr>
          <w:rFonts w:hint="eastAsia" w:ascii="宋体" w:hAnsi="宋体" w:eastAsia="宋体" w:cs="Times New Roman"/>
          <w:b/>
          <w:color w:val="000000"/>
          <w:sz w:val="24"/>
          <w:szCs w:val="24"/>
          <w:lang w:val="en-US" w:eastAsia="zh-CN"/>
        </w:rPr>
      </w:pPr>
      <w:r>
        <w:rPr>
          <w:rFonts w:hint="eastAsia" w:hAnsi="宋体" w:eastAsia="宋体" w:cs="宋体"/>
          <w:b/>
          <w:bCs/>
          <w:color w:val="000000"/>
          <w:sz w:val="24"/>
          <w:szCs w:val="24"/>
          <w:lang w:val="en-US" w:eastAsia="zh-CN"/>
        </w:rPr>
        <w:t>附件16</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pPr>
        <w:snapToGrid/>
        <w:spacing w:before="0" w:after="0" w:line="360" w:lineRule="auto"/>
        <w:ind w:left="0" w:right="0" w:firstLine="0"/>
        <w:jc w:val="both"/>
        <w:rPr>
          <w:rStyle w:val="47"/>
          <w:rFonts w:hint="eastAsia" w:ascii="宋体" w:hAnsi="宋体" w:eastAsia="宋体" w:cs="宋体"/>
          <w:sz w:val="24"/>
          <w:szCs w:val="24"/>
          <w:lang w:eastAsia="zh-CN"/>
        </w:rPr>
      </w:pPr>
      <w:r>
        <w:rPr>
          <w:rFonts w:hint="eastAsia" w:ascii="宋体" w:hAnsi="宋体" w:eastAsia="宋体" w:cs="宋体"/>
          <w:i w:val="0"/>
          <w:strike w:val="0"/>
          <w:color w:val="000000"/>
          <w:sz w:val="24"/>
          <w:szCs w:val="24"/>
          <w:u w:val="none"/>
        </w:rPr>
        <w:t>系统网址：</w:t>
      </w:r>
      <w:r>
        <w:rPr>
          <w:rStyle w:val="47"/>
          <w:rFonts w:hint="eastAsia" w:ascii="宋体" w:hAnsi="宋体" w:eastAsia="宋体" w:cs="宋体"/>
          <w:sz w:val="24"/>
          <w:szCs w:val="24"/>
        </w:rPr>
        <w:fldChar w:fldCharType="begin"/>
      </w:r>
      <w:r>
        <w:rPr>
          <w:rStyle w:val="4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47"/>
          <w:rFonts w:hint="eastAsia" w:ascii="宋体" w:hAnsi="宋体" w:eastAsia="宋体" w:cs="宋体"/>
          <w:sz w:val="24"/>
          <w:szCs w:val="24"/>
        </w:rPr>
        <w:fldChar w:fldCharType="separate"/>
      </w:r>
      <w:r>
        <w:rPr>
          <w:rStyle w:val="47"/>
          <w:rFonts w:hint="eastAsia" w:ascii="宋体" w:hAnsi="宋体" w:eastAsia="宋体" w:cs="宋体"/>
          <w:sz w:val="24"/>
          <w:szCs w:val="24"/>
        </w:rPr>
        <w:t>http://ecaitong.sinotruk.com:8012/</w:t>
      </w:r>
      <w:r>
        <w:rPr>
          <w:rStyle w:val="47"/>
          <w:rFonts w:hint="eastAsia" w:ascii="宋体" w:hAnsi="宋体" w:eastAsia="宋体" w:cs="宋体"/>
          <w:sz w:val="24"/>
          <w:szCs w:val="24"/>
        </w:rPr>
        <w:fldChar w:fldCharType="end"/>
      </w:r>
      <w:r>
        <w:rPr>
          <w:rStyle w:val="47"/>
          <w:rFonts w:hint="eastAsia" w:ascii="宋体" w:hAnsi="宋体" w:eastAsia="宋体" w:cs="宋体"/>
          <w:sz w:val="24"/>
          <w:szCs w:val="24"/>
          <w:lang w:eastAsia="zh-CN"/>
        </w:rPr>
        <w:t>（</w:t>
      </w:r>
      <w:r>
        <w:rPr>
          <w:rStyle w:val="47"/>
          <w:rFonts w:hint="eastAsia" w:ascii="宋体" w:hAnsi="宋体" w:eastAsia="宋体" w:cs="宋体"/>
          <w:sz w:val="24"/>
          <w:szCs w:val="24"/>
          <w:lang w:val="en-US" w:eastAsia="zh-CN"/>
        </w:rPr>
        <w:t>以下内容可能非最新版本，仅供参考，请登录系统网址后，点检查看最新版供应商手册</w:t>
      </w:r>
      <w:r>
        <w:rPr>
          <w:rStyle w:val="47"/>
          <w:rFonts w:hint="eastAsia" w:ascii="宋体" w:hAnsi="宋体" w:eastAsia="宋体" w:cs="宋体"/>
          <w:sz w:val="24"/>
          <w:szCs w:val="24"/>
          <w:lang w:eastAsia="zh-CN"/>
        </w:rPr>
        <w:t>）</w:t>
      </w:r>
    </w:p>
    <w:p>
      <w:pPr>
        <w:snapToGrid/>
        <w:spacing w:before="0" w:after="0" w:line="360" w:lineRule="auto"/>
        <w:ind w:left="0" w:right="0" w:firstLine="0"/>
        <w:jc w:val="both"/>
        <w:rPr>
          <w:rFonts w:hint="eastAsia" w:ascii="宋体" w:hAnsi="宋体" w:eastAsia="宋体" w:cs="宋体"/>
          <w:sz w:val="24"/>
          <w:szCs w:val="24"/>
          <w:lang w:eastAsia="zh-CN"/>
        </w:rPr>
      </w:pPr>
      <w:r>
        <w:rPr>
          <w:sz w:val="21"/>
        </w:rPr>
        <mc:AlternateContent>
          <mc:Choice Requires="wps">
            <w:drawing>
              <wp:anchor distT="0" distB="0" distL="114300" distR="114300" simplePos="0" relativeHeight="251659264" behindDoc="0" locked="0" layoutInCell="1" allowOverlap="1">
                <wp:simplePos x="0" y="0"/>
                <wp:positionH relativeFrom="column">
                  <wp:posOffset>1597025</wp:posOffset>
                </wp:positionH>
                <wp:positionV relativeFrom="paragraph">
                  <wp:posOffset>3650615</wp:posOffset>
                </wp:positionV>
                <wp:extent cx="2153920" cy="321945"/>
                <wp:effectExtent l="6350" t="6350" r="19050" b="698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59264;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190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47"/>
                    <a:stretch>
                      <a:fillRect/>
                    </a:stretch>
                  </pic:blipFill>
                  <pic:spPr>
                    <a:xfrm>
                      <a:off x="0" y="0"/>
                      <a:ext cx="4067175" cy="4876800"/>
                    </a:xfrm>
                    <a:prstGeom prst="rect">
                      <a:avLst/>
                    </a:prstGeom>
                    <a:noFill/>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2（或注册成功后，新密码）</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pPr>
        <w:snapToGrid/>
        <w:spacing w:before="0" w:after="0" w:line="240" w:lineRule="auto"/>
        <w:ind w:left="0" w:right="0"/>
        <w:jc w:val="both"/>
      </w:pPr>
      <w: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8"/>
                    <a:stretch>
                      <a:fillRect/>
                    </a:stretch>
                  </pic:blipFill>
                  <pic:spPr>
                    <a:xfrm>
                      <a:off x="0" y="0"/>
                      <a:ext cx="5760085" cy="2269864"/>
                    </a:xfrm>
                    <a:prstGeom prst="rect">
                      <a:avLst/>
                    </a:prstGeom>
                  </pic:spPr>
                </pic:pic>
              </a:graphicData>
            </a:graphic>
          </wp:inline>
        </w:drawing>
      </w:r>
    </w:p>
    <w:p>
      <w:pPr>
        <w:snapToGrid/>
        <w:spacing w:before="0" w:after="0" w:line="240" w:lineRule="auto"/>
        <w:ind w:left="0" w:right="0"/>
        <w:jc w:val="both"/>
      </w:pP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9"/>
                    <a:stretch>
                      <a:fillRect/>
                    </a:stretch>
                  </pic:blipFill>
                  <pic:spPr>
                    <a:xfrm>
                      <a:off x="0" y="0"/>
                      <a:ext cx="5760085" cy="2125673"/>
                    </a:xfrm>
                    <a:prstGeom prst="rect">
                      <a:avLst/>
                    </a:prstGeom>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pPr>
        <w:rPr>
          <w:b/>
          <w:bCs/>
          <w:highlight w:val="yellow"/>
        </w:rPr>
      </w:pPr>
      <w:r>
        <w:rPr>
          <w:rFonts w:hint="eastAsia" w:ascii="宋体" w:hAnsi="宋体" w:eastAsia="宋体" w:cs="宋体"/>
          <w:b/>
          <w:bCs/>
          <w:i w:val="0"/>
          <w:strike w:val="0"/>
          <w:color w:val="000000"/>
          <w:sz w:val="24"/>
          <w:szCs w:val="28"/>
          <w:highlight w:val="yellow"/>
          <w:u w:val="none"/>
          <w:lang w:val="en-US" w:eastAsia="zh-CN"/>
        </w:rPr>
        <w:t>注意：系统内的投标报价单位为“万元”，如开标现场发现填错报价，即直接淘汰</w:t>
      </w:r>
      <w:r>
        <w:rPr>
          <w:rFonts w:ascii="宋体" w:hAnsi="宋体" w:eastAsia="宋体" w:cs="宋体"/>
          <w:b/>
          <w:bCs/>
          <w:i w:val="0"/>
          <w:strike w:val="0"/>
          <w:color w:val="000000"/>
          <w:sz w:val="24"/>
          <w:szCs w:val="28"/>
          <w:highlight w:val="yellow"/>
          <w:u w:val="none"/>
        </w:rPr>
        <w:t>。</w:t>
      </w:r>
    </w:p>
    <w:p>
      <w:pPr>
        <w:pStyle w:val="19"/>
      </w:pPr>
    </w:p>
    <w:p>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0"/>
                    <a:stretch>
                      <a:fillRect/>
                    </a:stretch>
                  </pic:blipFill>
                  <pic:spPr>
                    <a:xfrm>
                      <a:off x="0" y="0"/>
                      <a:ext cx="5490210" cy="2669498"/>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w:t>
      </w:r>
      <w:r>
        <w:rPr>
          <w:rFonts w:hint="eastAsia" w:ascii="宋体" w:hAnsi="宋体" w:eastAsia="宋体" w:cs="宋体"/>
          <w:i w:val="0"/>
          <w:strike w:val="0"/>
          <w:color w:val="000000"/>
          <w:sz w:val="24"/>
          <w:szCs w:val="24"/>
          <w:u w:val="none"/>
          <w:lang w:val="en-US" w:eastAsia="zh-CN"/>
        </w:rPr>
        <w:t>编辑</w:t>
      </w:r>
      <w:r>
        <w:rPr>
          <w:rFonts w:ascii="宋体" w:hAnsi="宋体" w:eastAsia="宋体" w:cs="宋体"/>
          <w:i w:val="0"/>
          <w:strike w:val="0"/>
          <w:color w:val="000000"/>
          <w:sz w:val="24"/>
          <w:szCs w:val="24"/>
          <w:u w:val="none"/>
        </w:rPr>
        <w:t>技术标澄清函</w:t>
      </w:r>
      <w:r>
        <w:rPr>
          <w:rFonts w:hint="eastAsia" w:ascii="宋体" w:hAnsi="宋体" w:eastAsia="宋体" w:cs="宋体"/>
          <w:i w:val="0"/>
          <w:strike w:val="0"/>
          <w:color w:val="000000"/>
          <w:sz w:val="24"/>
          <w:szCs w:val="24"/>
          <w:u w:val="none"/>
          <w:lang w:val="en-US" w:eastAsia="zh-CN"/>
        </w:rPr>
        <w:t>最后填写</w:t>
      </w:r>
      <w:r>
        <w:rPr>
          <w:rFonts w:hint="eastAsia" w:ascii="宋体" w:hAnsi="宋体" w:eastAsia="宋体" w:cs="宋体"/>
          <w:i w:val="0"/>
          <w:strike w:val="0"/>
          <w:color w:val="000000"/>
          <w:sz w:val="24"/>
          <w:szCs w:val="24"/>
          <w:highlight w:val="yellow"/>
          <w:u w:val="none"/>
          <w:lang w:val="en-US" w:eastAsia="zh-CN"/>
        </w:rPr>
        <w:t>授权代表姓名及电话</w:t>
      </w:r>
      <w:r>
        <w:rPr>
          <w:rFonts w:ascii="宋体" w:hAnsi="宋体" w:eastAsia="宋体" w:cs="宋体"/>
          <w:i w:val="0"/>
          <w:strike w:val="0"/>
          <w:color w:val="000000"/>
          <w:sz w:val="24"/>
          <w:szCs w:val="24"/>
          <w:u w:val="none"/>
        </w:rPr>
        <w:t>。</w:t>
      </w:r>
    </w:p>
    <w:p>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1"/>
                    <a:stretch>
                      <a:fillRect/>
                    </a:stretch>
                  </pic:blipFill>
                  <pic:spPr>
                    <a:xfrm>
                      <a:off x="0" y="0"/>
                      <a:ext cx="5490210" cy="1992743"/>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w:t>
      </w:r>
      <w:r>
        <w:rPr>
          <w:rFonts w:hint="eastAsia" w:ascii="宋体" w:hAnsi="宋体" w:eastAsia="宋体" w:cs="宋体"/>
          <w:i w:val="0"/>
          <w:strike w:val="0"/>
          <w:color w:val="000000"/>
          <w:sz w:val="24"/>
          <w:szCs w:val="24"/>
          <w:u w:val="none"/>
          <w:lang w:val="en-US" w:eastAsia="zh-CN"/>
        </w:rPr>
        <w:t>填写商务澄清内容（</w:t>
      </w:r>
      <w:r>
        <w:rPr>
          <w:rFonts w:hint="eastAsia" w:ascii="宋体" w:hAnsi="宋体" w:eastAsia="宋体" w:cs="宋体"/>
          <w:i w:val="0"/>
          <w:strike w:val="0"/>
          <w:color w:val="000000"/>
          <w:sz w:val="24"/>
          <w:szCs w:val="24"/>
          <w:highlight w:val="yellow"/>
          <w:u w:val="none"/>
          <w:lang w:val="en-US" w:eastAsia="zh-CN"/>
        </w:rPr>
        <w:t>最后填写授权代表姓名、电话）</w:t>
      </w:r>
      <w:r>
        <w:rPr>
          <w:rFonts w:ascii="宋体" w:hAnsi="宋体" w:eastAsia="宋体" w:cs="宋体"/>
          <w:i w:val="0"/>
          <w:strike w:val="0"/>
          <w:color w:val="000000"/>
          <w:sz w:val="24"/>
          <w:szCs w:val="24"/>
          <w:u w:val="none"/>
        </w:rPr>
        <w:t>，之后点击提交。</w:t>
      </w:r>
    </w:p>
    <w:p>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2"/>
                    <a:stretch>
                      <a:fillRect/>
                    </a:stretch>
                  </pic:blipFill>
                  <pic:spPr>
                    <a:xfrm>
                      <a:off x="0" y="0"/>
                      <a:ext cx="5490210" cy="2544669"/>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pPr>
        <w:snapToGrid/>
        <w:spacing w:before="0" w:after="0" w:line="240" w:lineRule="auto"/>
        <w:ind w:left="0" w:right="0"/>
        <w:jc w:val="both"/>
      </w:pPr>
      <w:r>
        <w:drawing>
          <wp:inline distT="0" distB="0" distL="0" distR="0">
            <wp:extent cx="5760085" cy="19564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3"/>
                    <a:stretch>
                      <a:fillRect/>
                    </a:stretch>
                  </pic:blipFill>
                  <pic:spPr>
                    <a:xfrm>
                      <a:off x="0" y="0"/>
                      <a:ext cx="5760085" cy="1956600"/>
                    </a:xfrm>
                    <a:prstGeom prst="rect">
                      <a:avLst/>
                    </a:prstGeom>
                  </pic:spPr>
                </pic:pic>
              </a:graphicData>
            </a:graphic>
          </wp:inline>
        </w:drawing>
      </w:r>
    </w:p>
    <w:p>
      <w:pPr>
        <w:pStyle w:val="19"/>
        <w:rPr>
          <w:rFonts w:hint="eastAsia" w:hAnsi="宋体" w:eastAsia="宋体" w:cs="Times New Roman"/>
          <w:b/>
          <w:color w:val="000000"/>
          <w:sz w:val="24"/>
          <w:szCs w:val="24"/>
          <w:lang w:val="en-US" w:eastAsia="zh-CN"/>
        </w:rPr>
      </w:pPr>
    </w:p>
    <w:p>
      <w:pPr>
        <w:pStyle w:val="19"/>
        <w:rPr>
          <w:rFonts w:hAnsi="宋体" w:eastAsia="宋体" w:cs="Times New Roman"/>
          <w:b/>
          <w:color w:val="000000"/>
          <w:sz w:val="24"/>
          <w:szCs w:val="24"/>
          <w:highlight w:val="none"/>
        </w:rPr>
      </w:pPr>
    </w:p>
    <w:p>
      <w:pPr>
        <w:pStyle w:val="19"/>
        <w:rPr>
          <w:rFonts w:hAnsi="宋体" w:eastAsia="宋体" w:cs="Times New Roman"/>
          <w:b/>
          <w:color w:val="000000"/>
          <w:sz w:val="24"/>
          <w:szCs w:val="24"/>
          <w:highlight w:val="none"/>
        </w:rPr>
      </w:pPr>
    </w:p>
    <w:p>
      <w:pPr>
        <w:pStyle w:val="19"/>
        <w:rPr>
          <w:rFonts w:hAnsi="宋体" w:eastAsia="宋体" w:cs="Times New Roman"/>
          <w:b/>
          <w:color w:val="000000"/>
          <w:sz w:val="24"/>
          <w:szCs w:val="24"/>
          <w:highlight w:val="none"/>
        </w:rPr>
      </w:pPr>
    </w:p>
    <w:p>
      <w:pPr>
        <w:pStyle w:val="19"/>
        <w:rPr>
          <w:rFonts w:hAnsi="宋体" w:eastAsia="宋体" w:cs="Times New Roman"/>
          <w:b/>
          <w:color w:val="000000"/>
          <w:sz w:val="24"/>
          <w:szCs w:val="24"/>
          <w:highlight w:val="none"/>
        </w:rPr>
      </w:pPr>
    </w:p>
    <w:p>
      <w:pPr>
        <w:pStyle w:val="19"/>
        <w:rPr>
          <w:rFonts w:hAnsi="宋体" w:eastAsia="宋体" w:cs="Times New Roman"/>
          <w:b/>
          <w:color w:val="000000"/>
          <w:sz w:val="24"/>
          <w:szCs w:val="24"/>
          <w:highlight w:val="none"/>
        </w:rPr>
      </w:pPr>
    </w:p>
    <w:p>
      <w:pPr>
        <w:pStyle w:val="19"/>
        <w:rPr>
          <w:rFonts w:hAnsi="宋体" w:eastAsia="宋体" w:cs="Times New Roman"/>
          <w:b/>
          <w:color w:val="000000"/>
          <w:sz w:val="24"/>
          <w:szCs w:val="24"/>
          <w:highlight w:val="none"/>
        </w:rPr>
      </w:pPr>
    </w:p>
    <w:p>
      <w:pPr>
        <w:pStyle w:val="19"/>
        <w:rPr>
          <w:rFonts w:hAnsi="宋体" w:eastAsia="宋体" w:cs="Times New Roman"/>
          <w:b/>
          <w:color w:val="000000"/>
          <w:sz w:val="24"/>
          <w:szCs w:val="24"/>
          <w:highlight w:val="none"/>
        </w:rPr>
      </w:pPr>
    </w:p>
    <w:p>
      <w:pPr>
        <w:pStyle w:val="19"/>
        <w:rPr>
          <w:rFonts w:hAnsi="宋体" w:eastAsia="宋体" w:cs="Times New Roman"/>
          <w:b/>
          <w:color w:val="000000"/>
          <w:sz w:val="24"/>
          <w:szCs w:val="24"/>
          <w:highlight w:val="none"/>
        </w:rPr>
      </w:pPr>
    </w:p>
    <w:p>
      <w:pPr>
        <w:pStyle w:val="19"/>
        <w:rPr>
          <w:rFonts w:hAnsi="宋体" w:eastAsia="宋体" w:cs="Times New Roman"/>
          <w:b/>
          <w:color w:val="000000"/>
          <w:sz w:val="24"/>
          <w:szCs w:val="24"/>
          <w:highlight w:val="none"/>
        </w:rPr>
      </w:pPr>
    </w:p>
    <w:p>
      <w:pPr>
        <w:pStyle w:val="19"/>
        <w:rPr>
          <w:rFonts w:hAnsi="宋体" w:eastAsia="宋体" w:cs="Times New Roman"/>
          <w:b/>
          <w:color w:val="000000"/>
          <w:sz w:val="24"/>
          <w:szCs w:val="24"/>
          <w:highlight w:val="none"/>
        </w:rPr>
      </w:pPr>
    </w:p>
    <w:p>
      <w:pPr>
        <w:pStyle w:val="19"/>
        <w:rPr>
          <w:rFonts w:hint="eastAsia"/>
          <w:highlight w:val="none"/>
          <w:lang w:val="en-US" w:eastAsia="zh-CN"/>
        </w:rPr>
      </w:pPr>
    </w:p>
    <w:sectPr>
      <w:headerReference r:id="rId35" w:type="first"/>
      <w:footerReference r:id="rId37" w:type="first"/>
      <w:headerReference r:id="rId34" w:type="default"/>
      <w:footerReference r:id="rId36" w:type="default"/>
      <w:type w:val="continuous"/>
      <w:pgSz w:w="11906" w:h="16838"/>
      <w:pgMar w:top="1588" w:right="1418" w:bottom="1134" w:left="1418"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Consolas">
    <w:panose1 w:val="020B0609020204030204"/>
    <w:charset w:val="00"/>
    <w:family w:val="auto"/>
    <w:pitch w:val="default"/>
    <w:sig w:usb0="E00006FF" w:usb1="0000FCFF" w:usb2="00000001" w:usb3="00000000" w:csb0="600001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华文仿宋">
    <w:panose1 w:val="02010600040101010101"/>
    <w:charset w:val="86"/>
    <w:family w:val="auto"/>
    <w:pitch w:val="default"/>
    <w:sig w:usb0="00000287" w:usb1="080F0000" w:usb2="00000000" w:usb3="00000000" w:csb0="0004009F" w:csb1="DFD70000"/>
  </w:font>
  <w:font w:name="方正小标宋简体">
    <w:altName w:val="方正舒体"/>
    <w:panose1 w:val="03000509000000000000"/>
    <w:charset w:val="86"/>
    <w:family w:val="script"/>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57</w:t>
                    </w:r>
                    <w:r>
                      <w:fldChar w:fldCharType="end"/>
                    </w:r>
                  </w:p>
                </w:txbxContent>
              </v:textbox>
            </v:shape>
          </w:pict>
        </mc:Fallback>
      </mc:AlternateContent>
    </w:r>
    <w:r>
      <w:rPr>
        <w:rFonts w:ascii="Times New Roman" w:hAnsi="Times New Roman" w:eastAsia="Times New Roman" w:cs="Times New Roman"/>
        <w:spacing w:val="-2"/>
        <w:sz w:val="18"/>
        <w:szCs w:val="18"/>
      </w:rPr>
      <w:t>36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58</w:t>
                    </w:r>
                    <w:r>
                      <w:fldChar w:fldCharType="end"/>
                    </w:r>
                  </w:p>
                </w:txbxContent>
              </v:textbox>
            </v:shape>
          </w:pict>
        </mc:Fallback>
      </mc:AlternateContent>
    </w:r>
    <w:r>
      <w:rPr>
        <w:rFonts w:ascii="Times New Roman" w:hAnsi="Times New Roman" w:eastAsia="Times New Roman" w:cs="Times New Roman"/>
        <w:spacing w:val="-2"/>
        <w:sz w:val="18"/>
        <w:szCs w:val="18"/>
      </w:rPr>
      <w:t>36</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59</w:t>
                    </w:r>
                    <w:r>
                      <w:fldChar w:fldCharType="end"/>
                    </w:r>
                  </w:p>
                </w:txbxContent>
              </v:textbox>
            </v:shape>
          </w:pict>
        </mc:Fallback>
      </mc:AlternateContent>
    </w:r>
    <w:r>
      <w:rPr>
        <w:rFonts w:ascii="Times New Roman" w:hAnsi="Times New Roman" w:eastAsia="Times New Roman" w:cs="Times New Roman"/>
        <w:spacing w:val="-2"/>
        <w:sz w:val="18"/>
        <w:szCs w:val="18"/>
      </w:rPr>
      <w:t>35</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60</w:t>
                    </w:r>
                    <w:r>
                      <w:fldChar w:fldCharType="end"/>
                    </w:r>
                  </w:p>
                </w:txbxContent>
              </v:textbox>
            </v:shape>
          </w:pict>
        </mc:Fallback>
      </mc:AlternateContent>
    </w:r>
    <w:r>
      <w:rPr>
        <w:rFonts w:ascii="宋体" w:hAnsi="宋体" w:eastAsia="宋体" w:cs="宋体"/>
        <w:spacing w:val="-3"/>
        <w:sz w:val="18"/>
        <w:szCs w:val="18"/>
      </w:rPr>
      <w:t>3</w:t>
    </w:r>
    <w:r>
      <w:rPr>
        <w:rFonts w:ascii="宋体" w:hAnsi="宋体" w:eastAsia="宋体" w:cs="宋体"/>
        <w:spacing w:val="-2"/>
        <w:sz w:val="18"/>
        <w:szCs w:val="18"/>
      </w:rPr>
      <w:t>7</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4"/>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4"/>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p>
  <w:p>
    <w:pPr>
      <w:pStyle w:val="2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p>
    <w:pPr>
      <w:pStyle w:val="2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p>
    <w:pPr>
      <w:pStyle w:val="2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AE42AF3B"/>
    <w:multiLevelType w:val="singleLevel"/>
    <w:tmpl w:val="AE42AF3B"/>
    <w:lvl w:ilvl="0" w:tentative="0">
      <w:start w:val="14"/>
      <w:numFmt w:val="decimal"/>
      <w:suff w:val="nothing"/>
      <w:lvlText w:val="%1、"/>
      <w:lvlJc w:val="left"/>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DEE58A63"/>
    <w:multiLevelType w:val="singleLevel"/>
    <w:tmpl w:val="DEE58A63"/>
    <w:lvl w:ilvl="0" w:tentative="0">
      <w:start w:val="1"/>
      <w:numFmt w:val="bullet"/>
      <w:pStyle w:val="14"/>
      <w:lvlText w:val=""/>
      <w:lvlJc w:val="left"/>
      <w:pPr>
        <w:tabs>
          <w:tab w:val="left" w:pos="2040"/>
        </w:tabs>
        <w:ind w:left="2040" w:hanging="360"/>
      </w:pPr>
      <w:rPr>
        <w:rFonts w:hint="default" w:ascii="Wingdings" w:hAnsi="Wingdings"/>
      </w:rPr>
    </w:lvl>
  </w:abstractNum>
  <w:abstractNum w:abstractNumId="4">
    <w:nsid w:val="00000001"/>
    <w:multiLevelType w:val="multilevel"/>
    <w:tmpl w:val="00000001"/>
    <w:lvl w:ilvl="0" w:tentative="0">
      <w:start w:val="1"/>
      <w:numFmt w:val="decimal"/>
      <w:lvlText w:val="%1、"/>
      <w:lvlJc w:val="left"/>
      <w:pPr>
        <w:tabs>
          <w:tab w:val="left" w:pos="840"/>
        </w:tabs>
        <w:ind w:left="840" w:hanging="360"/>
      </w:pPr>
      <w:rPr>
        <w:rFonts w:hint="default"/>
        <w:u w:val="none"/>
      </w:rPr>
    </w:lvl>
    <w:lvl w:ilvl="1" w:tentative="0">
      <w:start w:val="1"/>
      <w:numFmt w:val="lowerLetter"/>
      <w:lvlText w:val="%2)"/>
      <w:lvlJc w:val="left"/>
      <w:pPr>
        <w:tabs>
          <w:tab w:val="left" w:pos="1320"/>
        </w:tabs>
        <w:ind w:left="1320" w:hanging="420"/>
      </w:pPr>
      <w:rPr>
        <w:rFonts w:hint="default"/>
        <w:u w:val="none"/>
      </w:rPr>
    </w:lvl>
    <w:lvl w:ilvl="2" w:tentative="0">
      <w:start w:val="1"/>
      <w:numFmt w:val="lowerRoman"/>
      <w:lvlText w:val="%3."/>
      <w:lvlJc w:val="right"/>
      <w:pPr>
        <w:tabs>
          <w:tab w:val="left" w:pos="1740"/>
        </w:tabs>
        <w:ind w:left="1740" w:hanging="420"/>
      </w:pPr>
      <w:rPr>
        <w:rFonts w:hint="default"/>
        <w:u w:val="none"/>
      </w:rPr>
    </w:lvl>
    <w:lvl w:ilvl="3" w:tentative="0">
      <w:start w:val="1"/>
      <w:numFmt w:val="decimal"/>
      <w:lvlText w:val="%4."/>
      <w:lvlJc w:val="left"/>
      <w:pPr>
        <w:tabs>
          <w:tab w:val="left" w:pos="2160"/>
        </w:tabs>
        <w:ind w:left="2160" w:hanging="420"/>
      </w:pPr>
      <w:rPr>
        <w:rFonts w:hint="default"/>
        <w:u w:val="none"/>
      </w:rPr>
    </w:lvl>
    <w:lvl w:ilvl="4" w:tentative="0">
      <w:start w:val="1"/>
      <w:numFmt w:val="lowerLetter"/>
      <w:lvlText w:val="%5)"/>
      <w:lvlJc w:val="left"/>
      <w:pPr>
        <w:tabs>
          <w:tab w:val="left" w:pos="2580"/>
        </w:tabs>
        <w:ind w:left="2580" w:hanging="420"/>
      </w:pPr>
      <w:rPr>
        <w:rFonts w:hint="default"/>
        <w:u w:val="none"/>
      </w:rPr>
    </w:lvl>
    <w:lvl w:ilvl="5" w:tentative="0">
      <w:start w:val="1"/>
      <w:numFmt w:val="lowerRoman"/>
      <w:lvlText w:val="%6."/>
      <w:lvlJc w:val="right"/>
      <w:pPr>
        <w:tabs>
          <w:tab w:val="left" w:pos="3000"/>
        </w:tabs>
        <w:ind w:left="3000" w:hanging="420"/>
      </w:pPr>
      <w:rPr>
        <w:rFonts w:hint="default"/>
        <w:u w:val="none"/>
      </w:rPr>
    </w:lvl>
    <w:lvl w:ilvl="6" w:tentative="0">
      <w:start w:val="1"/>
      <w:numFmt w:val="decimal"/>
      <w:lvlText w:val="%7."/>
      <w:lvlJc w:val="left"/>
      <w:pPr>
        <w:tabs>
          <w:tab w:val="left" w:pos="3420"/>
        </w:tabs>
        <w:ind w:left="3420" w:hanging="420"/>
      </w:pPr>
      <w:rPr>
        <w:rFonts w:hint="default"/>
        <w:u w:val="none"/>
      </w:rPr>
    </w:lvl>
    <w:lvl w:ilvl="7" w:tentative="0">
      <w:start w:val="1"/>
      <w:numFmt w:val="lowerLetter"/>
      <w:lvlText w:val="%8)"/>
      <w:lvlJc w:val="left"/>
      <w:pPr>
        <w:tabs>
          <w:tab w:val="left" w:pos="3840"/>
        </w:tabs>
        <w:ind w:left="3840" w:hanging="420"/>
      </w:pPr>
      <w:rPr>
        <w:rFonts w:hint="default"/>
        <w:u w:val="none"/>
      </w:rPr>
    </w:lvl>
    <w:lvl w:ilvl="8" w:tentative="0">
      <w:start w:val="1"/>
      <w:numFmt w:val="lowerRoman"/>
      <w:lvlText w:val="%9."/>
      <w:lvlJc w:val="right"/>
      <w:pPr>
        <w:tabs>
          <w:tab w:val="left" w:pos="4260"/>
        </w:tabs>
        <w:ind w:left="4260" w:hanging="420"/>
      </w:pPr>
      <w:rPr>
        <w:rFonts w:hint="default"/>
        <w:u w:val="none"/>
      </w:rPr>
    </w:lvl>
  </w:abstractNum>
  <w:abstractNum w:abstractNumId="5">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6">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7">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9">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0">
    <w:nsid w:val="5800A734"/>
    <w:multiLevelType w:val="singleLevel"/>
    <w:tmpl w:val="5800A734"/>
    <w:lvl w:ilvl="0" w:tentative="0">
      <w:start w:val="2"/>
      <w:numFmt w:val="decimal"/>
      <w:suff w:val="nothing"/>
      <w:lvlText w:val="%1、"/>
      <w:lvlJc w:val="left"/>
    </w:lvl>
  </w:abstractNum>
  <w:abstractNum w:abstractNumId="11">
    <w:nsid w:val="65DD6785"/>
    <w:multiLevelType w:val="multilevel"/>
    <w:tmpl w:val="65DD6785"/>
    <w:lvl w:ilvl="0" w:tentative="0">
      <w:start w:val="1"/>
      <w:numFmt w:val="decimal"/>
      <w:lvlText w:val="%1、"/>
      <w:lvlJc w:val="left"/>
      <w:pPr>
        <w:tabs>
          <w:tab w:val="left" w:pos="840"/>
        </w:tabs>
        <w:ind w:left="840" w:hanging="360"/>
      </w:pPr>
      <w:rPr>
        <w:rFonts w:hint="default"/>
        <w:u w:val="none"/>
      </w:rPr>
    </w:lvl>
    <w:lvl w:ilvl="1" w:tentative="0">
      <w:start w:val="1"/>
      <w:numFmt w:val="lowerLetter"/>
      <w:lvlText w:val="%2)"/>
      <w:lvlJc w:val="left"/>
      <w:pPr>
        <w:tabs>
          <w:tab w:val="left" w:pos="1320"/>
        </w:tabs>
        <w:ind w:left="1320" w:hanging="420"/>
      </w:pPr>
      <w:rPr>
        <w:rFonts w:hint="default"/>
        <w:u w:val="none"/>
      </w:rPr>
    </w:lvl>
    <w:lvl w:ilvl="2" w:tentative="0">
      <w:start w:val="1"/>
      <w:numFmt w:val="lowerRoman"/>
      <w:lvlText w:val="%3."/>
      <w:lvlJc w:val="right"/>
      <w:pPr>
        <w:tabs>
          <w:tab w:val="left" w:pos="1740"/>
        </w:tabs>
        <w:ind w:left="1740" w:hanging="420"/>
      </w:pPr>
      <w:rPr>
        <w:rFonts w:hint="default"/>
        <w:u w:val="none"/>
      </w:rPr>
    </w:lvl>
    <w:lvl w:ilvl="3" w:tentative="0">
      <w:start w:val="1"/>
      <w:numFmt w:val="decimal"/>
      <w:lvlText w:val="%4."/>
      <w:lvlJc w:val="left"/>
      <w:pPr>
        <w:tabs>
          <w:tab w:val="left" w:pos="2160"/>
        </w:tabs>
        <w:ind w:left="2160" w:hanging="420"/>
      </w:pPr>
      <w:rPr>
        <w:rFonts w:hint="default"/>
        <w:u w:val="none"/>
      </w:rPr>
    </w:lvl>
    <w:lvl w:ilvl="4" w:tentative="0">
      <w:start w:val="1"/>
      <w:numFmt w:val="lowerLetter"/>
      <w:lvlText w:val="%5)"/>
      <w:lvlJc w:val="left"/>
      <w:pPr>
        <w:tabs>
          <w:tab w:val="left" w:pos="2580"/>
        </w:tabs>
        <w:ind w:left="2580" w:hanging="420"/>
      </w:pPr>
      <w:rPr>
        <w:rFonts w:hint="default"/>
        <w:u w:val="none"/>
      </w:rPr>
    </w:lvl>
    <w:lvl w:ilvl="5" w:tentative="0">
      <w:start w:val="1"/>
      <w:numFmt w:val="lowerRoman"/>
      <w:lvlText w:val="%6."/>
      <w:lvlJc w:val="right"/>
      <w:pPr>
        <w:tabs>
          <w:tab w:val="left" w:pos="3000"/>
        </w:tabs>
        <w:ind w:left="3000" w:hanging="420"/>
      </w:pPr>
      <w:rPr>
        <w:rFonts w:hint="default"/>
        <w:u w:val="none"/>
      </w:rPr>
    </w:lvl>
    <w:lvl w:ilvl="6" w:tentative="0">
      <w:start w:val="1"/>
      <w:numFmt w:val="decimal"/>
      <w:lvlText w:val="%7."/>
      <w:lvlJc w:val="left"/>
      <w:pPr>
        <w:tabs>
          <w:tab w:val="left" w:pos="3420"/>
        </w:tabs>
        <w:ind w:left="3420" w:hanging="420"/>
      </w:pPr>
      <w:rPr>
        <w:rFonts w:hint="default"/>
        <w:u w:val="none"/>
      </w:rPr>
    </w:lvl>
    <w:lvl w:ilvl="7" w:tentative="0">
      <w:start w:val="1"/>
      <w:numFmt w:val="lowerLetter"/>
      <w:lvlText w:val="%8)"/>
      <w:lvlJc w:val="left"/>
      <w:pPr>
        <w:tabs>
          <w:tab w:val="left" w:pos="3840"/>
        </w:tabs>
        <w:ind w:left="3840" w:hanging="420"/>
      </w:pPr>
      <w:rPr>
        <w:rFonts w:hint="default"/>
        <w:u w:val="none"/>
      </w:rPr>
    </w:lvl>
    <w:lvl w:ilvl="8" w:tentative="0">
      <w:start w:val="1"/>
      <w:numFmt w:val="lowerRoman"/>
      <w:lvlText w:val="%9."/>
      <w:lvlJc w:val="right"/>
      <w:pPr>
        <w:tabs>
          <w:tab w:val="left" w:pos="4260"/>
        </w:tabs>
        <w:ind w:left="4260" w:hanging="420"/>
      </w:pPr>
      <w:rPr>
        <w:rFonts w:hint="default"/>
        <w:u w:val="none"/>
      </w:rPr>
    </w:lvl>
  </w:abstractNum>
  <w:abstractNum w:abstractNumId="12">
    <w:nsid w:val="6E8C6948"/>
    <w:multiLevelType w:val="singleLevel"/>
    <w:tmpl w:val="6E8C6948"/>
    <w:lvl w:ilvl="0" w:tentative="0">
      <w:start w:val="1"/>
      <w:numFmt w:val="chineseCounting"/>
      <w:suff w:val="space"/>
      <w:lvlText w:val="第%1部分"/>
      <w:lvlJc w:val="left"/>
      <w:rPr>
        <w:rFonts w:hint="eastAsia"/>
      </w:rPr>
    </w:lvl>
  </w:abstractNum>
  <w:abstractNum w:abstractNumId="13">
    <w:nsid w:val="7A612DE2"/>
    <w:multiLevelType w:val="singleLevel"/>
    <w:tmpl w:val="7A612DE2"/>
    <w:lvl w:ilvl="0" w:tentative="0">
      <w:start w:val="2"/>
      <w:numFmt w:val="decimal"/>
      <w:lvlText w:val="%1."/>
      <w:lvlJc w:val="left"/>
      <w:pPr>
        <w:tabs>
          <w:tab w:val="left" w:pos="312"/>
        </w:tabs>
      </w:pPr>
    </w:lvl>
  </w:abstractNum>
  <w:num w:numId="1">
    <w:abstractNumId w:val="3"/>
  </w:num>
  <w:num w:numId="2">
    <w:abstractNumId w:val="12"/>
  </w:num>
  <w:num w:numId="3">
    <w:abstractNumId w:val="0"/>
  </w:num>
  <w:num w:numId="4">
    <w:abstractNumId w:val="13"/>
  </w:num>
  <w:num w:numId="5">
    <w:abstractNumId w:val="7"/>
  </w:num>
  <w:num w:numId="6">
    <w:abstractNumId w:val="5"/>
  </w:num>
  <w:num w:numId="7">
    <w:abstractNumId w:val="9"/>
  </w:num>
  <w:num w:numId="8">
    <w:abstractNumId w:val="2"/>
  </w:num>
  <w:num w:numId="9">
    <w:abstractNumId w:val="8"/>
  </w:num>
  <w:num w:numId="10">
    <w:abstractNumId w:val="6"/>
  </w:num>
  <w:num w:numId="11">
    <w:abstractNumId w:val="4"/>
  </w:num>
  <w:num w:numId="12">
    <w:abstractNumId w:val="11"/>
  </w:num>
  <w:num w:numId="13">
    <w:abstractNumId w:val="1"/>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81"/>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547A000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2F6C4C"/>
    <w:rsid w:val="003A4540"/>
    <w:rsid w:val="003B4D7D"/>
    <w:rsid w:val="003D6656"/>
    <w:rsid w:val="003E0AB3"/>
    <w:rsid w:val="00401C42"/>
    <w:rsid w:val="004076DE"/>
    <w:rsid w:val="00423213"/>
    <w:rsid w:val="00460AFB"/>
    <w:rsid w:val="00470130"/>
    <w:rsid w:val="00483B0A"/>
    <w:rsid w:val="004B5126"/>
    <w:rsid w:val="004F7838"/>
    <w:rsid w:val="00503391"/>
    <w:rsid w:val="00552960"/>
    <w:rsid w:val="0056018A"/>
    <w:rsid w:val="00567344"/>
    <w:rsid w:val="005829DC"/>
    <w:rsid w:val="005C0B4E"/>
    <w:rsid w:val="005C421F"/>
    <w:rsid w:val="005F16F0"/>
    <w:rsid w:val="0062689F"/>
    <w:rsid w:val="0065185D"/>
    <w:rsid w:val="00680629"/>
    <w:rsid w:val="00686C52"/>
    <w:rsid w:val="006F1414"/>
    <w:rsid w:val="007432BF"/>
    <w:rsid w:val="007525BF"/>
    <w:rsid w:val="0075280E"/>
    <w:rsid w:val="007800DC"/>
    <w:rsid w:val="007838AA"/>
    <w:rsid w:val="00783D5E"/>
    <w:rsid w:val="00785FD6"/>
    <w:rsid w:val="007B212D"/>
    <w:rsid w:val="00806A61"/>
    <w:rsid w:val="00824BFD"/>
    <w:rsid w:val="008453B3"/>
    <w:rsid w:val="00845824"/>
    <w:rsid w:val="008D3B56"/>
    <w:rsid w:val="008D5CEF"/>
    <w:rsid w:val="009360F9"/>
    <w:rsid w:val="00964F00"/>
    <w:rsid w:val="009B511E"/>
    <w:rsid w:val="009E0F5E"/>
    <w:rsid w:val="00A21EB2"/>
    <w:rsid w:val="00A31561"/>
    <w:rsid w:val="00A54E95"/>
    <w:rsid w:val="00A80564"/>
    <w:rsid w:val="00A960B2"/>
    <w:rsid w:val="00AD7338"/>
    <w:rsid w:val="00AE6633"/>
    <w:rsid w:val="00B01FF1"/>
    <w:rsid w:val="00B426C4"/>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94578"/>
    <w:rsid w:val="00DB5225"/>
    <w:rsid w:val="00DD1E5E"/>
    <w:rsid w:val="00DE6417"/>
    <w:rsid w:val="00E16182"/>
    <w:rsid w:val="00E1627A"/>
    <w:rsid w:val="00E34C35"/>
    <w:rsid w:val="00E64BF7"/>
    <w:rsid w:val="00E650A8"/>
    <w:rsid w:val="00E878B4"/>
    <w:rsid w:val="00EA52E2"/>
    <w:rsid w:val="00EB3D00"/>
    <w:rsid w:val="00F71720"/>
    <w:rsid w:val="00FE040F"/>
    <w:rsid w:val="00FE42B3"/>
    <w:rsid w:val="014832F2"/>
    <w:rsid w:val="014C6B51"/>
    <w:rsid w:val="014D51C1"/>
    <w:rsid w:val="01714809"/>
    <w:rsid w:val="0179546C"/>
    <w:rsid w:val="01C52478"/>
    <w:rsid w:val="027408EE"/>
    <w:rsid w:val="02963F39"/>
    <w:rsid w:val="02B3095A"/>
    <w:rsid w:val="02B50726"/>
    <w:rsid w:val="02BA7274"/>
    <w:rsid w:val="03251978"/>
    <w:rsid w:val="0325718A"/>
    <w:rsid w:val="03A04F32"/>
    <w:rsid w:val="042921B6"/>
    <w:rsid w:val="043342B8"/>
    <w:rsid w:val="043B72BB"/>
    <w:rsid w:val="04461EC1"/>
    <w:rsid w:val="04504B3F"/>
    <w:rsid w:val="04510922"/>
    <w:rsid w:val="046B5540"/>
    <w:rsid w:val="04786935"/>
    <w:rsid w:val="049D18BB"/>
    <w:rsid w:val="04AD02B8"/>
    <w:rsid w:val="04DE51C8"/>
    <w:rsid w:val="04DF17D4"/>
    <w:rsid w:val="04EE7F1F"/>
    <w:rsid w:val="05355B4E"/>
    <w:rsid w:val="05412745"/>
    <w:rsid w:val="05491761"/>
    <w:rsid w:val="05A351AD"/>
    <w:rsid w:val="05F257ED"/>
    <w:rsid w:val="05F9748A"/>
    <w:rsid w:val="06266F78"/>
    <w:rsid w:val="063E7B7A"/>
    <w:rsid w:val="06582413"/>
    <w:rsid w:val="06682E69"/>
    <w:rsid w:val="066A28A8"/>
    <w:rsid w:val="067E33B8"/>
    <w:rsid w:val="06B96433"/>
    <w:rsid w:val="06E82FCB"/>
    <w:rsid w:val="06F34B95"/>
    <w:rsid w:val="07426476"/>
    <w:rsid w:val="07571DAC"/>
    <w:rsid w:val="07612C2A"/>
    <w:rsid w:val="07867620"/>
    <w:rsid w:val="08916B94"/>
    <w:rsid w:val="089D4136"/>
    <w:rsid w:val="08D5567E"/>
    <w:rsid w:val="08DD171B"/>
    <w:rsid w:val="08E64121"/>
    <w:rsid w:val="09097B66"/>
    <w:rsid w:val="090F1795"/>
    <w:rsid w:val="0942017F"/>
    <w:rsid w:val="0968268E"/>
    <w:rsid w:val="09BA1FBB"/>
    <w:rsid w:val="09CB139F"/>
    <w:rsid w:val="0A0106F5"/>
    <w:rsid w:val="0A112AB7"/>
    <w:rsid w:val="0A4E5482"/>
    <w:rsid w:val="0AAA504A"/>
    <w:rsid w:val="0AD71BC7"/>
    <w:rsid w:val="0AF049F1"/>
    <w:rsid w:val="0AF420EB"/>
    <w:rsid w:val="0B266665"/>
    <w:rsid w:val="0B2B2BF5"/>
    <w:rsid w:val="0B2F3908"/>
    <w:rsid w:val="0B3F6206"/>
    <w:rsid w:val="0B785C4C"/>
    <w:rsid w:val="0BDE715C"/>
    <w:rsid w:val="0BE12DB6"/>
    <w:rsid w:val="0BFC6504"/>
    <w:rsid w:val="0C345AD1"/>
    <w:rsid w:val="0C360B29"/>
    <w:rsid w:val="0C626CE4"/>
    <w:rsid w:val="0D030966"/>
    <w:rsid w:val="0D0C2B7B"/>
    <w:rsid w:val="0D807235"/>
    <w:rsid w:val="0D9308F8"/>
    <w:rsid w:val="0DE76C3D"/>
    <w:rsid w:val="0E1A1D85"/>
    <w:rsid w:val="0E1B0427"/>
    <w:rsid w:val="0E303356"/>
    <w:rsid w:val="0E750568"/>
    <w:rsid w:val="0E9C3C97"/>
    <w:rsid w:val="0F2D7A80"/>
    <w:rsid w:val="0F4277E5"/>
    <w:rsid w:val="0F930041"/>
    <w:rsid w:val="0FA75561"/>
    <w:rsid w:val="0FB83603"/>
    <w:rsid w:val="0FCA77F1"/>
    <w:rsid w:val="0FCD5DCC"/>
    <w:rsid w:val="10043197"/>
    <w:rsid w:val="10270545"/>
    <w:rsid w:val="103409DF"/>
    <w:rsid w:val="108A1D4B"/>
    <w:rsid w:val="10A10111"/>
    <w:rsid w:val="10BE093E"/>
    <w:rsid w:val="10E20BD8"/>
    <w:rsid w:val="111B0FE9"/>
    <w:rsid w:val="112C77F4"/>
    <w:rsid w:val="113440E3"/>
    <w:rsid w:val="114755AB"/>
    <w:rsid w:val="115F67A8"/>
    <w:rsid w:val="119A7465"/>
    <w:rsid w:val="11C07DA5"/>
    <w:rsid w:val="11C2491E"/>
    <w:rsid w:val="11F36B75"/>
    <w:rsid w:val="12491386"/>
    <w:rsid w:val="12E60579"/>
    <w:rsid w:val="12EB0F02"/>
    <w:rsid w:val="130D1D87"/>
    <w:rsid w:val="13695B36"/>
    <w:rsid w:val="1372609F"/>
    <w:rsid w:val="139276FC"/>
    <w:rsid w:val="13D03611"/>
    <w:rsid w:val="13D73572"/>
    <w:rsid w:val="14504752"/>
    <w:rsid w:val="145A6A37"/>
    <w:rsid w:val="1467440F"/>
    <w:rsid w:val="14D7277E"/>
    <w:rsid w:val="15400323"/>
    <w:rsid w:val="15433A9B"/>
    <w:rsid w:val="15FC2F04"/>
    <w:rsid w:val="16181FAC"/>
    <w:rsid w:val="168756A0"/>
    <w:rsid w:val="16F94849"/>
    <w:rsid w:val="17045E51"/>
    <w:rsid w:val="172011D4"/>
    <w:rsid w:val="17252C3B"/>
    <w:rsid w:val="17312619"/>
    <w:rsid w:val="173C25C7"/>
    <w:rsid w:val="173F0A2E"/>
    <w:rsid w:val="17770BC2"/>
    <w:rsid w:val="17860E2F"/>
    <w:rsid w:val="17A119AA"/>
    <w:rsid w:val="180E4708"/>
    <w:rsid w:val="18586F2B"/>
    <w:rsid w:val="19087FDA"/>
    <w:rsid w:val="19A766B9"/>
    <w:rsid w:val="19CE76BA"/>
    <w:rsid w:val="19F26070"/>
    <w:rsid w:val="19F97C8B"/>
    <w:rsid w:val="1A1523CE"/>
    <w:rsid w:val="1AA44EB0"/>
    <w:rsid w:val="1AA730BD"/>
    <w:rsid w:val="1ADF38C8"/>
    <w:rsid w:val="1B2B1506"/>
    <w:rsid w:val="1B333D5D"/>
    <w:rsid w:val="1B4F7512"/>
    <w:rsid w:val="1B587618"/>
    <w:rsid w:val="1B5F19C7"/>
    <w:rsid w:val="1B612DA1"/>
    <w:rsid w:val="1B8C2514"/>
    <w:rsid w:val="1BF367A5"/>
    <w:rsid w:val="1C1C709B"/>
    <w:rsid w:val="1C400DBE"/>
    <w:rsid w:val="1C47643B"/>
    <w:rsid w:val="1C4F6795"/>
    <w:rsid w:val="1C9F6814"/>
    <w:rsid w:val="1CE7377A"/>
    <w:rsid w:val="1D5C514E"/>
    <w:rsid w:val="1D865D14"/>
    <w:rsid w:val="1D8705EC"/>
    <w:rsid w:val="1DEC0E7D"/>
    <w:rsid w:val="1DF20628"/>
    <w:rsid w:val="1DF63B37"/>
    <w:rsid w:val="1E43150B"/>
    <w:rsid w:val="1EA93E80"/>
    <w:rsid w:val="1ECE150A"/>
    <w:rsid w:val="1ED33FB6"/>
    <w:rsid w:val="1EE81332"/>
    <w:rsid w:val="1F1C3BAF"/>
    <w:rsid w:val="1F32415A"/>
    <w:rsid w:val="1F542F9A"/>
    <w:rsid w:val="1F702632"/>
    <w:rsid w:val="1F7E2174"/>
    <w:rsid w:val="1FB64E98"/>
    <w:rsid w:val="1FEA7809"/>
    <w:rsid w:val="20062169"/>
    <w:rsid w:val="20107567"/>
    <w:rsid w:val="20605D1D"/>
    <w:rsid w:val="20AB56C6"/>
    <w:rsid w:val="21093CBF"/>
    <w:rsid w:val="21547789"/>
    <w:rsid w:val="2176507C"/>
    <w:rsid w:val="21A1039B"/>
    <w:rsid w:val="21AE2AB8"/>
    <w:rsid w:val="21BE35AF"/>
    <w:rsid w:val="21C11174"/>
    <w:rsid w:val="22113368"/>
    <w:rsid w:val="22244B28"/>
    <w:rsid w:val="22467FD4"/>
    <w:rsid w:val="229451FD"/>
    <w:rsid w:val="22A12DB6"/>
    <w:rsid w:val="22AE7FBA"/>
    <w:rsid w:val="236356D1"/>
    <w:rsid w:val="23A91C83"/>
    <w:rsid w:val="23C962E8"/>
    <w:rsid w:val="241E7B2F"/>
    <w:rsid w:val="246D2675"/>
    <w:rsid w:val="247E4FED"/>
    <w:rsid w:val="24AD78E0"/>
    <w:rsid w:val="24B30BE8"/>
    <w:rsid w:val="24E34060"/>
    <w:rsid w:val="253A0491"/>
    <w:rsid w:val="254E0478"/>
    <w:rsid w:val="257D2ECD"/>
    <w:rsid w:val="25B14925"/>
    <w:rsid w:val="25E036B2"/>
    <w:rsid w:val="25E9082A"/>
    <w:rsid w:val="25F42473"/>
    <w:rsid w:val="269C17B8"/>
    <w:rsid w:val="26AF2D79"/>
    <w:rsid w:val="26B34B91"/>
    <w:rsid w:val="270075A9"/>
    <w:rsid w:val="270D66E8"/>
    <w:rsid w:val="27514612"/>
    <w:rsid w:val="278B0DAB"/>
    <w:rsid w:val="278D3850"/>
    <w:rsid w:val="279C6B0E"/>
    <w:rsid w:val="27A64735"/>
    <w:rsid w:val="27CC4DF2"/>
    <w:rsid w:val="280D64D7"/>
    <w:rsid w:val="281864F2"/>
    <w:rsid w:val="286903EF"/>
    <w:rsid w:val="287F5DD3"/>
    <w:rsid w:val="288047CB"/>
    <w:rsid w:val="289E62FA"/>
    <w:rsid w:val="28FD6E90"/>
    <w:rsid w:val="291E2CA6"/>
    <w:rsid w:val="29331862"/>
    <w:rsid w:val="29622B06"/>
    <w:rsid w:val="297B5976"/>
    <w:rsid w:val="297D349C"/>
    <w:rsid w:val="299741EC"/>
    <w:rsid w:val="299E147F"/>
    <w:rsid w:val="29BD6726"/>
    <w:rsid w:val="29C32A87"/>
    <w:rsid w:val="29CF26DC"/>
    <w:rsid w:val="2A1C5DA0"/>
    <w:rsid w:val="2A200D39"/>
    <w:rsid w:val="2A507EFF"/>
    <w:rsid w:val="2A7C0D61"/>
    <w:rsid w:val="2ADC05A4"/>
    <w:rsid w:val="2AEF2177"/>
    <w:rsid w:val="2B161149"/>
    <w:rsid w:val="2B1B2F6C"/>
    <w:rsid w:val="2B391645"/>
    <w:rsid w:val="2B6F0D7F"/>
    <w:rsid w:val="2B844FB6"/>
    <w:rsid w:val="2B8716BD"/>
    <w:rsid w:val="2B8A1EA0"/>
    <w:rsid w:val="2B8B76FF"/>
    <w:rsid w:val="2BD5034F"/>
    <w:rsid w:val="2CDF446E"/>
    <w:rsid w:val="2D025012"/>
    <w:rsid w:val="2D4178F0"/>
    <w:rsid w:val="2DAE631A"/>
    <w:rsid w:val="2DD877E0"/>
    <w:rsid w:val="2DE616C9"/>
    <w:rsid w:val="2DFC2451"/>
    <w:rsid w:val="2E3422F8"/>
    <w:rsid w:val="2E607565"/>
    <w:rsid w:val="2E6E566D"/>
    <w:rsid w:val="2E7F188E"/>
    <w:rsid w:val="2EBC0905"/>
    <w:rsid w:val="2EC73739"/>
    <w:rsid w:val="2EFB1B0E"/>
    <w:rsid w:val="2F4D56BE"/>
    <w:rsid w:val="2F5C684F"/>
    <w:rsid w:val="2F63756E"/>
    <w:rsid w:val="2F6A0BF4"/>
    <w:rsid w:val="2F77098D"/>
    <w:rsid w:val="2FEC3129"/>
    <w:rsid w:val="303D3985"/>
    <w:rsid w:val="306A6644"/>
    <w:rsid w:val="30717AD3"/>
    <w:rsid w:val="307610EA"/>
    <w:rsid w:val="307776D1"/>
    <w:rsid w:val="30862574"/>
    <w:rsid w:val="30B631E1"/>
    <w:rsid w:val="30BD737C"/>
    <w:rsid w:val="30DF2A6F"/>
    <w:rsid w:val="30E860A3"/>
    <w:rsid w:val="311933AA"/>
    <w:rsid w:val="316B62D0"/>
    <w:rsid w:val="317D15BB"/>
    <w:rsid w:val="31C825FC"/>
    <w:rsid w:val="31D07E6C"/>
    <w:rsid w:val="32036508"/>
    <w:rsid w:val="323F65DA"/>
    <w:rsid w:val="32412074"/>
    <w:rsid w:val="324F5BF1"/>
    <w:rsid w:val="327C2FDC"/>
    <w:rsid w:val="32A43435"/>
    <w:rsid w:val="32DE0199"/>
    <w:rsid w:val="333C2963"/>
    <w:rsid w:val="3344327C"/>
    <w:rsid w:val="335B2774"/>
    <w:rsid w:val="335F1E64"/>
    <w:rsid w:val="33A4642E"/>
    <w:rsid w:val="33D4039C"/>
    <w:rsid w:val="33D47E05"/>
    <w:rsid w:val="33D65FD5"/>
    <w:rsid w:val="33DE547F"/>
    <w:rsid w:val="33E505BB"/>
    <w:rsid w:val="3413677D"/>
    <w:rsid w:val="342B544B"/>
    <w:rsid w:val="345E036E"/>
    <w:rsid w:val="34C47852"/>
    <w:rsid w:val="34DE1E4F"/>
    <w:rsid w:val="34F07DB1"/>
    <w:rsid w:val="35092435"/>
    <w:rsid w:val="359009FB"/>
    <w:rsid w:val="35D354B8"/>
    <w:rsid w:val="35D4025C"/>
    <w:rsid w:val="362666BC"/>
    <w:rsid w:val="368A6B11"/>
    <w:rsid w:val="37085B1F"/>
    <w:rsid w:val="372E04CB"/>
    <w:rsid w:val="378B76CC"/>
    <w:rsid w:val="37CA01F4"/>
    <w:rsid w:val="381274A5"/>
    <w:rsid w:val="38206BF2"/>
    <w:rsid w:val="38E070F2"/>
    <w:rsid w:val="390D33AB"/>
    <w:rsid w:val="391E6D06"/>
    <w:rsid w:val="3A074847"/>
    <w:rsid w:val="3A685AA2"/>
    <w:rsid w:val="3A830B2E"/>
    <w:rsid w:val="3A9F2A6E"/>
    <w:rsid w:val="3AA90FE6"/>
    <w:rsid w:val="3AA9318F"/>
    <w:rsid w:val="3AB62DA0"/>
    <w:rsid w:val="3ACA1B91"/>
    <w:rsid w:val="3B0D21A6"/>
    <w:rsid w:val="3B451BFD"/>
    <w:rsid w:val="3B69577B"/>
    <w:rsid w:val="3B702D85"/>
    <w:rsid w:val="3B7D3FD5"/>
    <w:rsid w:val="3B823DDF"/>
    <w:rsid w:val="3BC431AC"/>
    <w:rsid w:val="3BD827B4"/>
    <w:rsid w:val="3C237ED3"/>
    <w:rsid w:val="3C460D90"/>
    <w:rsid w:val="3C4D2D59"/>
    <w:rsid w:val="3CAA596A"/>
    <w:rsid w:val="3CAF1D22"/>
    <w:rsid w:val="3CB1587B"/>
    <w:rsid w:val="3CB735F2"/>
    <w:rsid w:val="3CCD42E3"/>
    <w:rsid w:val="3CF84DD4"/>
    <w:rsid w:val="3D037D04"/>
    <w:rsid w:val="3D186684"/>
    <w:rsid w:val="3D363C36"/>
    <w:rsid w:val="3D6A1B31"/>
    <w:rsid w:val="3D8B2178"/>
    <w:rsid w:val="3DB34909"/>
    <w:rsid w:val="3DD115F5"/>
    <w:rsid w:val="3DE435F0"/>
    <w:rsid w:val="3DE5122C"/>
    <w:rsid w:val="3DF37E53"/>
    <w:rsid w:val="3EC314F9"/>
    <w:rsid w:val="3ED26DE9"/>
    <w:rsid w:val="3EED17D0"/>
    <w:rsid w:val="3F0C0304"/>
    <w:rsid w:val="3F774839"/>
    <w:rsid w:val="3F7D3D9E"/>
    <w:rsid w:val="3F9410E8"/>
    <w:rsid w:val="3FEC147E"/>
    <w:rsid w:val="40376375"/>
    <w:rsid w:val="412732B7"/>
    <w:rsid w:val="4127791F"/>
    <w:rsid w:val="41281794"/>
    <w:rsid w:val="413C1FDF"/>
    <w:rsid w:val="41806A69"/>
    <w:rsid w:val="41B0259C"/>
    <w:rsid w:val="41BC6F1C"/>
    <w:rsid w:val="41C061C4"/>
    <w:rsid w:val="41EF2363"/>
    <w:rsid w:val="41F77860"/>
    <w:rsid w:val="424A4B98"/>
    <w:rsid w:val="42581D3A"/>
    <w:rsid w:val="42ED2EA4"/>
    <w:rsid w:val="42F6649D"/>
    <w:rsid w:val="42FE0080"/>
    <w:rsid w:val="43315D2E"/>
    <w:rsid w:val="43670C99"/>
    <w:rsid w:val="43824A1C"/>
    <w:rsid w:val="43AE09CA"/>
    <w:rsid w:val="43B1743B"/>
    <w:rsid w:val="43D110E1"/>
    <w:rsid w:val="43D61CCF"/>
    <w:rsid w:val="43DF072A"/>
    <w:rsid w:val="43E873C9"/>
    <w:rsid w:val="44905B1F"/>
    <w:rsid w:val="45316885"/>
    <w:rsid w:val="45326A50"/>
    <w:rsid w:val="45334280"/>
    <w:rsid w:val="454E56C4"/>
    <w:rsid w:val="458464CB"/>
    <w:rsid w:val="45A95EE9"/>
    <w:rsid w:val="45FB0F21"/>
    <w:rsid w:val="46167166"/>
    <w:rsid w:val="46255415"/>
    <w:rsid w:val="4636719A"/>
    <w:rsid w:val="46380A1F"/>
    <w:rsid w:val="46BF3973"/>
    <w:rsid w:val="4714591E"/>
    <w:rsid w:val="47200EE3"/>
    <w:rsid w:val="47435AC2"/>
    <w:rsid w:val="47544B78"/>
    <w:rsid w:val="47587AF7"/>
    <w:rsid w:val="47745A86"/>
    <w:rsid w:val="47E239AC"/>
    <w:rsid w:val="480F4B73"/>
    <w:rsid w:val="487974BD"/>
    <w:rsid w:val="48895562"/>
    <w:rsid w:val="48DB38E3"/>
    <w:rsid w:val="49001B5E"/>
    <w:rsid w:val="49376DB0"/>
    <w:rsid w:val="49804BB7"/>
    <w:rsid w:val="49826DCB"/>
    <w:rsid w:val="499013E7"/>
    <w:rsid w:val="49C8088A"/>
    <w:rsid w:val="4A0F6D68"/>
    <w:rsid w:val="4A301C93"/>
    <w:rsid w:val="4A3302AB"/>
    <w:rsid w:val="4A4060F4"/>
    <w:rsid w:val="4A572A17"/>
    <w:rsid w:val="4A6F2535"/>
    <w:rsid w:val="4AC85D49"/>
    <w:rsid w:val="4AE308A9"/>
    <w:rsid w:val="4B117A90"/>
    <w:rsid w:val="4B260F2D"/>
    <w:rsid w:val="4B9A1456"/>
    <w:rsid w:val="4BA32C82"/>
    <w:rsid w:val="4BE70627"/>
    <w:rsid w:val="4BFC24EE"/>
    <w:rsid w:val="4C0A5AE1"/>
    <w:rsid w:val="4C130AB8"/>
    <w:rsid w:val="4C5A284D"/>
    <w:rsid w:val="4C5C0673"/>
    <w:rsid w:val="4C786019"/>
    <w:rsid w:val="4C856040"/>
    <w:rsid w:val="4CB96B43"/>
    <w:rsid w:val="4CC75FCC"/>
    <w:rsid w:val="4CC87A5E"/>
    <w:rsid w:val="4CD63947"/>
    <w:rsid w:val="4CDB2104"/>
    <w:rsid w:val="4CFC49F4"/>
    <w:rsid w:val="4D073D73"/>
    <w:rsid w:val="4D1D44CA"/>
    <w:rsid w:val="4D1E27BA"/>
    <w:rsid w:val="4D23574A"/>
    <w:rsid w:val="4D4C4DB0"/>
    <w:rsid w:val="4D7322D5"/>
    <w:rsid w:val="4DC000E1"/>
    <w:rsid w:val="4DD7034C"/>
    <w:rsid w:val="4DE312CB"/>
    <w:rsid w:val="4DF5318E"/>
    <w:rsid w:val="4E1F4862"/>
    <w:rsid w:val="4E2E4393"/>
    <w:rsid w:val="4E535EF2"/>
    <w:rsid w:val="4EBB0839"/>
    <w:rsid w:val="4EDA4744"/>
    <w:rsid w:val="4F0170F3"/>
    <w:rsid w:val="4F08773C"/>
    <w:rsid w:val="4F31409F"/>
    <w:rsid w:val="4F576D80"/>
    <w:rsid w:val="4F5E670E"/>
    <w:rsid w:val="4F846A83"/>
    <w:rsid w:val="4F883E6C"/>
    <w:rsid w:val="50070E2C"/>
    <w:rsid w:val="501112F3"/>
    <w:rsid w:val="504B57F2"/>
    <w:rsid w:val="50850D04"/>
    <w:rsid w:val="50C5433A"/>
    <w:rsid w:val="50C62BC7"/>
    <w:rsid w:val="50D3475E"/>
    <w:rsid w:val="50F72A66"/>
    <w:rsid w:val="5123368C"/>
    <w:rsid w:val="5130747C"/>
    <w:rsid w:val="51417051"/>
    <w:rsid w:val="515C765A"/>
    <w:rsid w:val="51905BB3"/>
    <w:rsid w:val="51946FCB"/>
    <w:rsid w:val="51AC406F"/>
    <w:rsid w:val="51DD796B"/>
    <w:rsid w:val="51DF373B"/>
    <w:rsid w:val="52846D9A"/>
    <w:rsid w:val="52BC4786"/>
    <w:rsid w:val="52C96FAF"/>
    <w:rsid w:val="52EF4CB5"/>
    <w:rsid w:val="52F959F0"/>
    <w:rsid w:val="5302488E"/>
    <w:rsid w:val="53136173"/>
    <w:rsid w:val="53163E96"/>
    <w:rsid w:val="534B12B7"/>
    <w:rsid w:val="539442AF"/>
    <w:rsid w:val="539A4AC7"/>
    <w:rsid w:val="53D61877"/>
    <w:rsid w:val="542631B6"/>
    <w:rsid w:val="542B3971"/>
    <w:rsid w:val="543D6020"/>
    <w:rsid w:val="5447483C"/>
    <w:rsid w:val="547A000A"/>
    <w:rsid w:val="54862A07"/>
    <w:rsid w:val="54942CAE"/>
    <w:rsid w:val="54A61722"/>
    <w:rsid w:val="54B0031A"/>
    <w:rsid w:val="54B31FAF"/>
    <w:rsid w:val="54D44008"/>
    <w:rsid w:val="54FB10D7"/>
    <w:rsid w:val="54FD46FE"/>
    <w:rsid w:val="55326D63"/>
    <w:rsid w:val="555413F3"/>
    <w:rsid w:val="555D1A10"/>
    <w:rsid w:val="55C300FC"/>
    <w:rsid w:val="56AC4A78"/>
    <w:rsid w:val="56C2011A"/>
    <w:rsid w:val="56CB4F97"/>
    <w:rsid w:val="56DB16B9"/>
    <w:rsid w:val="574D00A2"/>
    <w:rsid w:val="5778511F"/>
    <w:rsid w:val="577A3463"/>
    <w:rsid w:val="579F27B0"/>
    <w:rsid w:val="57AA72A2"/>
    <w:rsid w:val="57F967AD"/>
    <w:rsid w:val="58052975"/>
    <w:rsid w:val="58063909"/>
    <w:rsid w:val="580F5357"/>
    <w:rsid w:val="583D3C73"/>
    <w:rsid w:val="584D1A65"/>
    <w:rsid w:val="584F5C44"/>
    <w:rsid w:val="58E525CA"/>
    <w:rsid w:val="58EE7372"/>
    <w:rsid w:val="59227E09"/>
    <w:rsid w:val="593D045A"/>
    <w:rsid w:val="5960739E"/>
    <w:rsid w:val="59896D0A"/>
    <w:rsid w:val="59B72684"/>
    <w:rsid w:val="59FD6BCA"/>
    <w:rsid w:val="5A7140A7"/>
    <w:rsid w:val="5A8E6A07"/>
    <w:rsid w:val="5A9579AE"/>
    <w:rsid w:val="5AA91A93"/>
    <w:rsid w:val="5AB0697E"/>
    <w:rsid w:val="5AC468CD"/>
    <w:rsid w:val="5B342B9A"/>
    <w:rsid w:val="5B5953B0"/>
    <w:rsid w:val="5B630802"/>
    <w:rsid w:val="5B807F68"/>
    <w:rsid w:val="5BA72CE5"/>
    <w:rsid w:val="5C034D53"/>
    <w:rsid w:val="5C0A43A9"/>
    <w:rsid w:val="5C647631"/>
    <w:rsid w:val="5C7B276E"/>
    <w:rsid w:val="5CC96BFE"/>
    <w:rsid w:val="5D722852"/>
    <w:rsid w:val="5DA13E95"/>
    <w:rsid w:val="5DE51034"/>
    <w:rsid w:val="5DF60588"/>
    <w:rsid w:val="5E1D6F56"/>
    <w:rsid w:val="5E361890"/>
    <w:rsid w:val="5E52187F"/>
    <w:rsid w:val="5E6567AD"/>
    <w:rsid w:val="5E6A13CD"/>
    <w:rsid w:val="5E705D15"/>
    <w:rsid w:val="5E93326C"/>
    <w:rsid w:val="5E9F1A7A"/>
    <w:rsid w:val="5EAF3818"/>
    <w:rsid w:val="5EFB4BA4"/>
    <w:rsid w:val="5F025452"/>
    <w:rsid w:val="5F127074"/>
    <w:rsid w:val="5F5F46B5"/>
    <w:rsid w:val="5FB25360"/>
    <w:rsid w:val="5FBA3CC0"/>
    <w:rsid w:val="5FBE258A"/>
    <w:rsid w:val="5FD90D61"/>
    <w:rsid w:val="60177697"/>
    <w:rsid w:val="602329DB"/>
    <w:rsid w:val="607777D6"/>
    <w:rsid w:val="608F5287"/>
    <w:rsid w:val="60B50B3A"/>
    <w:rsid w:val="60BC76A1"/>
    <w:rsid w:val="60D62EB6"/>
    <w:rsid w:val="610B7637"/>
    <w:rsid w:val="612279BA"/>
    <w:rsid w:val="615F5624"/>
    <w:rsid w:val="61D215CF"/>
    <w:rsid w:val="61D73926"/>
    <w:rsid w:val="625C563D"/>
    <w:rsid w:val="626A1704"/>
    <w:rsid w:val="627921C2"/>
    <w:rsid w:val="62B362C8"/>
    <w:rsid w:val="62C1330E"/>
    <w:rsid w:val="633D0FCB"/>
    <w:rsid w:val="6342085E"/>
    <w:rsid w:val="636F415C"/>
    <w:rsid w:val="64464B44"/>
    <w:rsid w:val="644C0547"/>
    <w:rsid w:val="6488096B"/>
    <w:rsid w:val="64917820"/>
    <w:rsid w:val="649E018F"/>
    <w:rsid w:val="64AA1CC5"/>
    <w:rsid w:val="65200BA4"/>
    <w:rsid w:val="6528341F"/>
    <w:rsid w:val="656B2909"/>
    <w:rsid w:val="658D448B"/>
    <w:rsid w:val="65970AF2"/>
    <w:rsid w:val="65A3045D"/>
    <w:rsid w:val="65C21C5B"/>
    <w:rsid w:val="65D97752"/>
    <w:rsid w:val="65E25E59"/>
    <w:rsid w:val="66307F76"/>
    <w:rsid w:val="66580EAF"/>
    <w:rsid w:val="66694D0D"/>
    <w:rsid w:val="667B4472"/>
    <w:rsid w:val="66F041A8"/>
    <w:rsid w:val="6721178A"/>
    <w:rsid w:val="6739399A"/>
    <w:rsid w:val="673B1CC5"/>
    <w:rsid w:val="673F39DE"/>
    <w:rsid w:val="674C5D22"/>
    <w:rsid w:val="67663AF8"/>
    <w:rsid w:val="67762CFD"/>
    <w:rsid w:val="677A678D"/>
    <w:rsid w:val="677F7E04"/>
    <w:rsid w:val="67B77327"/>
    <w:rsid w:val="67D30B32"/>
    <w:rsid w:val="68011379"/>
    <w:rsid w:val="68252C37"/>
    <w:rsid w:val="683338F6"/>
    <w:rsid w:val="68817BAC"/>
    <w:rsid w:val="689A5E59"/>
    <w:rsid w:val="68A94E70"/>
    <w:rsid w:val="68EE72DF"/>
    <w:rsid w:val="68FE744E"/>
    <w:rsid w:val="690B4C92"/>
    <w:rsid w:val="69485FEA"/>
    <w:rsid w:val="69677DC0"/>
    <w:rsid w:val="69937EC7"/>
    <w:rsid w:val="69D64558"/>
    <w:rsid w:val="6A042548"/>
    <w:rsid w:val="6A3739C7"/>
    <w:rsid w:val="6A471EFD"/>
    <w:rsid w:val="6A505A87"/>
    <w:rsid w:val="6A755CB7"/>
    <w:rsid w:val="6AB57116"/>
    <w:rsid w:val="6B17424A"/>
    <w:rsid w:val="6B2218FA"/>
    <w:rsid w:val="6B686C59"/>
    <w:rsid w:val="6B691672"/>
    <w:rsid w:val="6BAF2C82"/>
    <w:rsid w:val="6BC06C3D"/>
    <w:rsid w:val="6BE97F42"/>
    <w:rsid w:val="6C270A6A"/>
    <w:rsid w:val="6C5E6A51"/>
    <w:rsid w:val="6C6513C3"/>
    <w:rsid w:val="6C744268"/>
    <w:rsid w:val="6C913746"/>
    <w:rsid w:val="6CA64085"/>
    <w:rsid w:val="6CD62D03"/>
    <w:rsid w:val="6CD97FB6"/>
    <w:rsid w:val="6D0E5050"/>
    <w:rsid w:val="6D4B22B8"/>
    <w:rsid w:val="6D930013"/>
    <w:rsid w:val="6DBE0F5A"/>
    <w:rsid w:val="6DD54C21"/>
    <w:rsid w:val="6E1A1656"/>
    <w:rsid w:val="6E231DD6"/>
    <w:rsid w:val="6E274D51"/>
    <w:rsid w:val="6E5A5288"/>
    <w:rsid w:val="6E9A5523"/>
    <w:rsid w:val="6EE013EE"/>
    <w:rsid w:val="6EE079F1"/>
    <w:rsid w:val="6EE42C42"/>
    <w:rsid w:val="6F7F7CB0"/>
    <w:rsid w:val="6FE0165C"/>
    <w:rsid w:val="6FE10C44"/>
    <w:rsid w:val="6FE32EFA"/>
    <w:rsid w:val="70222744"/>
    <w:rsid w:val="706D25DF"/>
    <w:rsid w:val="706D2B21"/>
    <w:rsid w:val="707B1384"/>
    <w:rsid w:val="70857A34"/>
    <w:rsid w:val="70985D3C"/>
    <w:rsid w:val="70ED4030"/>
    <w:rsid w:val="70F81685"/>
    <w:rsid w:val="71047C73"/>
    <w:rsid w:val="7107096A"/>
    <w:rsid w:val="7109004F"/>
    <w:rsid w:val="71103167"/>
    <w:rsid w:val="712E56F7"/>
    <w:rsid w:val="713175C0"/>
    <w:rsid w:val="71691ABB"/>
    <w:rsid w:val="71AE1AEA"/>
    <w:rsid w:val="71CF3B6C"/>
    <w:rsid w:val="71DB032D"/>
    <w:rsid w:val="71F80F33"/>
    <w:rsid w:val="721101F2"/>
    <w:rsid w:val="722922C6"/>
    <w:rsid w:val="727176A7"/>
    <w:rsid w:val="72AC2584"/>
    <w:rsid w:val="72CB03A1"/>
    <w:rsid w:val="732D4B5D"/>
    <w:rsid w:val="73393C88"/>
    <w:rsid w:val="73520497"/>
    <w:rsid w:val="7362513F"/>
    <w:rsid w:val="73771D49"/>
    <w:rsid w:val="73A1354E"/>
    <w:rsid w:val="74006876"/>
    <w:rsid w:val="745B5755"/>
    <w:rsid w:val="747607E0"/>
    <w:rsid w:val="74A11E7D"/>
    <w:rsid w:val="74C4654A"/>
    <w:rsid w:val="75387844"/>
    <w:rsid w:val="753A79B9"/>
    <w:rsid w:val="75590B0A"/>
    <w:rsid w:val="7582279F"/>
    <w:rsid w:val="75843EB5"/>
    <w:rsid w:val="75BB71AF"/>
    <w:rsid w:val="75F01962"/>
    <w:rsid w:val="75F145C2"/>
    <w:rsid w:val="760E19DF"/>
    <w:rsid w:val="764E52E0"/>
    <w:rsid w:val="76557F3E"/>
    <w:rsid w:val="76676A53"/>
    <w:rsid w:val="76961750"/>
    <w:rsid w:val="76A3294D"/>
    <w:rsid w:val="76B620A1"/>
    <w:rsid w:val="76F20814"/>
    <w:rsid w:val="77462524"/>
    <w:rsid w:val="776C358D"/>
    <w:rsid w:val="779A6594"/>
    <w:rsid w:val="77A21064"/>
    <w:rsid w:val="77E34EB2"/>
    <w:rsid w:val="78071E5D"/>
    <w:rsid w:val="780B56E4"/>
    <w:rsid w:val="781564B8"/>
    <w:rsid w:val="781B2E5F"/>
    <w:rsid w:val="78224ACF"/>
    <w:rsid w:val="783E7E0B"/>
    <w:rsid w:val="78CD6DCC"/>
    <w:rsid w:val="78CE0BEB"/>
    <w:rsid w:val="78D07CAF"/>
    <w:rsid w:val="78DE12D7"/>
    <w:rsid w:val="79210683"/>
    <w:rsid w:val="799C3465"/>
    <w:rsid w:val="79B14EC4"/>
    <w:rsid w:val="7A2A6B4A"/>
    <w:rsid w:val="7A304F8E"/>
    <w:rsid w:val="7A3507F6"/>
    <w:rsid w:val="7A681070"/>
    <w:rsid w:val="7A860C7C"/>
    <w:rsid w:val="7AB879FE"/>
    <w:rsid w:val="7AC34054"/>
    <w:rsid w:val="7AF64429"/>
    <w:rsid w:val="7B072683"/>
    <w:rsid w:val="7B3264DD"/>
    <w:rsid w:val="7B81188A"/>
    <w:rsid w:val="7B9E2902"/>
    <w:rsid w:val="7BC854E2"/>
    <w:rsid w:val="7BE67FFA"/>
    <w:rsid w:val="7C0562EC"/>
    <w:rsid w:val="7C067A45"/>
    <w:rsid w:val="7C27683F"/>
    <w:rsid w:val="7C3A6597"/>
    <w:rsid w:val="7CB14B4D"/>
    <w:rsid w:val="7CB43C54"/>
    <w:rsid w:val="7CD57FDE"/>
    <w:rsid w:val="7CF26969"/>
    <w:rsid w:val="7D25523C"/>
    <w:rsid w:val="7D2A660C"/>
    <w:rsid w:val="7D6C2781"/>
    <w:rsid w:val="7DB23041"/>
    <w:rsid w:val="7E253FEC"/>
    <w:rsid w:val="7E5F7809"/>
    <w:rsid w:val="7ED56C53"/>
    <w:rsid w:val="7EEA1BAF"/>
    <w:rsid w:val="7F5460D4"/>
    <w:rsid w:val="7F552892"/>
    <w:rsid w:val="7FC44A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3"/>
    <w:qFormat/>
    <w:uiPriority w:val="9"/>
    <w:pPr>
      <w:keepNext/>
      <w:keepLines/>
      <w:jc w:val="center"/>
      <w:outlineLvl w:val="0"/>
    </w:pPr>
    <w:rPr>
      <w:b/>
      <w:bCs/>
      <w:kern w:val="44"/>
      <w:sz w:val="36"/>
      <w:szCs w:val="44"/>
    </w:rPr>
  </w:style>
  <w:style w:type="paragraph" w:styleId="3">
    <w:name w:val="heading 2"/>
    <w:basedOn w:val="1"/>
    <w:next w:val="1"/>
    <w:link w:val="54"/>
    <w:qFormat/>
    <w:uiPriority w:val="9"/>
    <w:pPr>
      <w:keepNext/>
      <w:keepLines/>
      <w:spacing w:line="360" w:lineRule="auto"/>
      <w:outlineLvl w:val="1"/>
    </w:pPr>
    <w:rPr>
      <w:rFonts w:ascii="Arial" w:hAnsi="Arial" w:eastAsia="宋体" w:cs="Times New Roman"/>
      <w:sz w:val="24"/>
      <w:szCs w:val="32"/>
    </w:rPr>
  </w:style>
  <w:style w:type="paragraph" w:styleId="4">
    <w:name w:val="heading 3"/>
    <w:basedOn w:val="1"/>
    <w:next w:val="1"/>
    <w:link w:val="55"/>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qFormat/>
    <w:uiPriority w:val="0"/>
    <w:pPr>
      <w:keepNext/>
      <w:keepLines/>
      <w:spacing w:line="480" w:lineRule="exact"/>
      <w:outlineLvl w:val="4"/>
    </w:pPr>
    <w:rPr>
      <w:bCs/>
      <w:szCs w:val="28"/>
    </w:rPr>
  </w:style>
  <w:style w:type="character" w:default="1" w:styleId="40">
    <w:name w:val="Default Paragraph Font"/>
    <w:semiHidden/>
    <w:unhideWhenUsed/>
    <w:qFormat/>
    <w:uiPriority w:val="1"/>
  </w:style>
  <w:style w:type="table" w:default="1" w:styleId="38">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caption"/>
    <w:basedOn w:val="1"/>
    <w:next w:val="1"/>
    <w:qFormat/>
    <w:uiPriority w:val="35"/>
    <w:pPr>
      <w:spacing w:before="152" w:after="160"/>
    </w:pPr>
    <w:rPr>
      <w:rFonts w:ascii="Arial" w:hAnsi="Arial" w:eastAsia="黑体" w:cs="Arial"/>
      <w:sz w:val="20"/>
      <w:szCs w:val="20"/>
    </w:rPr>
  </w:style>
  <w:style w:type="paragraph" w:styleId="9">
    <w:name w:val="Document Map"/>
    <w:basedOn w:val="1"/>
    <w:link w:val="76"/>
    <w:qFormat/>
    <w:uiPriority w:val="0"/>
    <w:pPr>
      <w:shd w:val="clear" w:color="auto" w:fill="000080"/>
    </w:pPr>
    <w:rPr>
      <w:sz w:val="24"/>
    </w:rPr>
  </w:style>
  <w:style w:type="paragraph" w:styleId="10">
    <w:name w:val="toa heading"/>
    <w:basedOn w:val="1"/>
    <w:next w:val="1"/>
    <w:qFormat/>
    <w:uiPriority w:val="99"/>
    <w:pPr>
      <w:spacing w:before="120"/>
    </w:pPr>
    <w:rPr>
      <w:rFonts w:ascii="Arial" w:hAnsi="Arial" w:eastAsia="宋体" w:cs="Arial"/>
      <w:sz w:val="24"/>
      <w:szCs w:val="24"/>
    </w:rPr>
  </w:style>
  <w:style w:type="paragraph" w:styleId="11">
    <w:name w:val="annotation text"/>
    <w:basedOn w:val="1"/>
    <w:link w:val="67"/>
    <w:qFormat/>
    <w:uiPriority w:val="0"/>
    <w:pPr>
      <w:jc w:val="left"/>
    </w:pPr>
  </w:style>
  <w:style w:type="paragraph" w:styleId="12">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3">
    <w:name w:val="Body Text"/>
    <w:basedOn w:val="1"/>
    <w:next w:val="14"/>
    <w:link w:val="88"/>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List Bullet 5"/>
    <w:basedOn w:val="1"/>
    <w:semiHidden/>
    <w:unhideWhenUsed/>
    <w:qFormat/>
    <w:uiPriority w:val="99"/>
    <w:pPr>
      <w:numPr>
        <w:ilvl w:val="0"/>
        <w:numId w:val="1"/>
      </w:numPr>
    </w:pPr>
  </w:style>
  <w:style w:type="paragraph" w:styleId="15">
    <w:name w:val="Body Text Indent"/>
    <w:basedOn w:val="1"/>
    <w:link w:val="85"/>
    <w:qFormat/>
    <w:uiPriority w:val="99"/>
    <w:pPr>
      <w:spacing w:after="120"/>
      <w:ind w:left="420" w:leftChars="200"/>
    </w:pPr>
    <w:rPr>
      <w:rFonts w:ascii="Calibri" w:hAnsi="Calibri" w:eastAsia="宋体" w:cs="Times New Roman"/>
      <w:szCs w:val="20"/>
    </w:rPr>
  </w:style>
  <w:style w:type="paragraph" w:styleId="16">
    <w:name w:val="index 4"/>
    <w:basedOn w:val="1"/>
    <w:next w:val="1"/>
    <w:qFormat/>
    <w:uiPriority w:val="0"/>
    <w:pPr>
      <w:ind w:left="600" w:leftChars="600"/>
    </w:pPr>
  </w:style>
  <w:style w:type="paragraph" w:styleId="17">
    <w:name w:val="toc 5"/>
    <w:basedOn w:val="1"/>
    <w:next w:val="1"/>
    <w:qFormat/>
    <w:uiPriority w:val="39"/>
    <w:pPr>
      <w:ind w:left="960"/>
      <w:jc w:val="left"/>
    </w:pPr>
    <w:rPr>
      <w:rFonts w:ascii="Calibri" w:hAnsi="Calibri" w:eastAsia="宋体" w:cs="Times New Roman"/>
      <w:sz w:val="18"/>
      <w:szCs w:val="18"/>
    </w:rPr>
  </w:style>
  <w:style w:type="paragraph" w:styleId="18">
    <w:name w:val="toc 3"/>
    <w:basedOn w:val="1"/>
    <w:next w:val="1"/>
    <w:qFormat/>
    <w:uiPriority w:val="39"/>
    <w:pPr>
      <w:ind w:left="480"/>
      <w:jc w:val="left"/>
    </w:pPr>
    <w:rPr>
      <w:rFonts w:ascii="Calibri" w:hAnsi="Calibri" w:eastAsia="宋体" w:cs="Times New Roman"/>
      <w:i/>
      <w:iCs/>
      <w:sz w:val="20"/>
      <w:szCs w:val="20"/>
    </w:rPr>
  </w:style>
  <w:style w:type="paragraph" w:styleId="19">
    <w:name w:val="Plain Text"/>
    <w:basedOn w:val="1"/>
    <w:link w:val="78"/>
    <w:qFormat/>
    <w:uiPriority w:val="0"/>
    <w:rPr>
      <w:rFonts w:ascii="宋体" w:hAnsi="Courier New"/>
    </w:rPr>
  </w:style>
  <w:style w:type="paragraph" w:styleId="20">
    <w:name w:val="toc 8"/>
    <w:basedOn w:val="1"/>
    <w:next w:val="1"/>
    <w:qFormat/>
    <w:uiPriority w:val="39"/>
    <w:pPr>
      <w:ind w:left="1680"/>
      <w:jc w:val="left"/>
    </w:pPr>
    <w:rPr>
      <w:rFonts w:ascii="Calibri" w:hAnsi="Calibri" w:eastAsia="宋体" w:cs="Times New Roman"/>
      <w:sz w:val="18"/>
      <w:szCs w:val="18"/>
    </w:rPr>
  </w:style>
  <w:style w:type="paragraph" w:styleId="21">
    <w:name w:val="Date"/>
    <w:basedOn w:val="1"/>
    <w:next w:val="1"/>
    <w:link w:val="69"/>
    <w:qFormat/>
    <w:uiPriority w:val="0"/>
    <w:pPr>
      <w:ind w:left="100" w:leftChars="2500"/>
    </w:pPr>
    <w:rPr>
      <w:sz w:val="24"/>
    </w:rPr>
  </w:style>
  <w:style w:type="paragraph" w:styleId="22">
    <w:name w:val="Body Text Indent 2"/>
    <w:basedOn w:val="1"/>
    <w:link w:val="57"/>
    <w:qFormat/>
    <w:uiPriority w:val="0"/>
    <w:pPr>
      <w:spacing w:after="120" w:line="480" w:lineRule="auto"/>
      <w:ind w:left="420" w:leftChars="200"/>
    </w:pPr>
  </w:style>
  <w:style w:type="paragraph" w:styleId="23">
    <w:name w:val="Balloon Text"/>
    <w:basedOn w:val="1"/>
    <w:link w:val="73"/>
    <w:qFormat/>
    <w:uiPriority w:val="0"/>
    <w:rPr>
      <w:sz w:val="18"/>
    </w:rPr>
  </w:style>
  <w:style w:type="paragraph" w:styleId="24">
    <w:name w:val="footer"/>
    <w:basedOn w:val="1"/>
    <w:link w:val="79"/>
    <w:qFormat/>
    <w:uiPriority w:val="99"/>
    <w:pPr>
      <w:tabs>
        <w:tab w:val="center" w:pos="4153"/>
        <w:tab w:val="right" w:pos="8306"/>
      </w:tabs>
      <w:snapToGrid w:val="0"/>
      <w:jc w:val="left"/>
    </w:pPr>
    <w:rPr>
      <w:sz w:val="18"/>
    </w:rPr>
  </w:style>
  <w:style w:type="paragraph" w:styleId="25">
    <w:name w:val="header"/>
    <w:basedOn w:val="1"/>
    <w:link w:val="65"/>
    <w:qFormat/>
    <w:uiPriority w:val="0"/>
    <w:pPr>
      <w:pBdr>
        <w:bottom w:val="single" w:color="auto" w:sz="6" w:space="1"/>
      </w:pBdr>
      <w:tabs>
        <w:tab w:val="center" w:pos="4153"/>
        <w:tab w:val="right" w:pos="8306"/>
      </w:tabs>
      <w:snapToGrid w:val="0"/>
      <w:jc w:val="center"/>
    </w:pPr>
    <w:rPr>
      <w:sz w:val="18"/>
    </w:rPr>
  </w:style>
  <w:style w:type="paragraph" w:styleId="26">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7">
    <w:name w:val="toc 4"/>
    <w:basedOn w:val="1"/>
    <w:next w:val="1"/>
    <w:qFormat/>
    <w:uiPriority w:val="39"/>
    <w:pPr>
      <w:ind w:left="720"/>
      <w:jc w:val="left"/>
    </w:pPr>
    <w:rPr>
      <w:rFonts w:ascii="Calibri" w:hAnsi="Calibri" w:eastAsia="宋体" w:cs="Times New Roman"/>
      <w:sz w:val="18"/>
      <w:szCs w:val="18"/>
    </w:rPr>
  </w:style>
  <w:style w:type="paragraph" w:styleId="28">
    <w:name w:val="List"/>
    <w:basedOn w:val="1"/>
    <w:qFormat/>
    <w:uiPriority w:val="99"/>
    <w:pPr>
      <w:ind w:left="420" w:hanging="420"/>
    </w:pPr>
    <w:rPr>
      <w:rFonts w:ascii="Times New Roman" w:hAnsi="Times New Roman" w:eastAsia="宋体" w:cs="Times New Roman"/>
      <w:szCs w:val="20"/>
    </w:rPr>
  </w:style>
  <w:style w:type="paragraph" w:styleId="29">
    <w:name w:val="toc 6"/>
    <w:basedOn w:val="1"/>
    <w:next w:val="1"/>
    <w:qFormat/>
    <w:uiPriority w:val="39"/>
    <w:pPr>
      <w:ind w:left="1200"/>
      <w:jc w:val="left"/>
    </w:pPr>
    <w:rPr>
      <w:rFonts w:ascii="Calibri" w:hAnsi="Calibri" w:eastAsia="宋体" w:cs="Times New Roman"/>
      <w:sz w:val="18"/>
      <w:szCs w:val="18"/>
    </w:rPr>
  </w:style>
  <w:style w:type="paragraph" w:styleId="30">
    <w:name w:val="Body Text Indent 3"/>
    <w:basedOn w:val="1"/>
    <w:link w:val="59"/>
    <w:qFormat/>
    <w:uiPriority w:val="0"/>
    <w:pPr>
      <w:spacing w:after="120"/>
      <w:ind w:left="420" w:leftChars="200"/>
    </w:pPr>
    <w:rPr>
      <w:sz w:val="16"/>
    </w:rPr>
  </w:style>
  <w:style w:type="paragraph" w:styleId="31">
    <w:name w:val="toc 2"/>
    <w:basedOn w:val="1"/>
    <w:next w:val="1"/>
    <w:unhideWhenUsed/>
    <w:qFormat/>
    <w:uiPriority w:val="39"/>
    <w:pPr>
      <w:ind w:left="420" w:leftChars="200"/>
    </w:pPr>
    <w:rPr>
      <w:rFonts w:ascii="Calibri" w:hAnsi="Calibri" w:eastAsia="宋体" w:cs="Times New Roman"/>
      <w:szCs w:val="20"/>
    </w:rPr>
  </w:style>
  <w:style w:type="paragraph" w:styleId="32">
    <w:name w:val="toc 9"/>
    <w:basedOn w:val="1"/>
    <w:next w:val="1"/>
    <w:qFormat/>
    <w:uiPriority w:val="39"/>
    <w:pPr>
      <w:ind w:left="1920"/>
      <w:jc w:val="left"/>
    </w:pPr>
    <w:rPr>
      <w:rFonts w:ascii="Calibri" w:hAnsi="Calibri" w:eastAsia="宋体" w:cs="Times New Roman"/>
      <w:sz w:val="18"/>
      <w:szCs w:val="18"/>
    </w:rPr>
  </w:style>
  <w:style w:type="paragraph" w:styleId="33">
    <w:name w:val="Normal (Web)"/>
    <w:basedOn w:val="1"/>
    <w:qFormat/>
    <w:uiPriority w:val="99"/>
    <w:rPr>
      <w:rFonts w:ascii="Calibri" w:hAnsi="Calibri" w:eastAsia="宋体" w:cs="Times New Roman"/>
      <w:sz w:val="24"/>
      <w:szCs w:val="20"/>
    </w:rPr>
  </w:style>
  <w:style w:type="paragraph" w:styleId="34">
    <w:name w:val="index 1"/>
    <w:basedOn w:val="1"/>
    <w:next w:val="1"/>
    <w:qFormat/>
    <w:uiPriority w:val="99"/>
    <w:rPr>
      <w:rFonts w:ascii="Calibri" w:hAnsi="Calibri" w:eastAsia="宋体" w:cs="Times New Roman"/>
      <w:sz w:val="24"/>
      <w:szCs w:val="24"/>
    </w:rPr>
  </w:style>
  <w:style w:type="paragraph" w:styleId="35">
    <w:name w:val="Title"/>
    <w:basedOn w:val="1"/>
    <w:link w:val="68"/>
    <w:qFormat/>
    <w:uiPriority w:val="0"/>
    <w:pPr>
      <w:spacing w:before="160" w:after="40" w:line="240" w:lineRule="atLeast"/>
      <w:ind w:left="425" w:hanging="425"/>
      <w:jc w:val="center"/>
      <w:outlineLvl w:val="0"/>
    </w:pPr>
    <w:rPr>
      <w:rFonts w:ascii="Arial" w:hAnsi="Arial"/>
      <w:b/>
      <w:sz w:val="32"/>
    </w:rPr>
  </w:style>
  <w:style w:type="paragraph" w:styleId="36">
    <w:name w:val="annotation subject"/>
    <w:basedOn w:val="11"/>
    <w:next w:val="11"/>
    <w:link w:val="58"/>
    <w:qFormat/>
    <w:uiPriority w:val="0"/>
    <w:rPr>
      <w:b/>
    </w:rPr>
  </w:style>
  <w:style w:type="paragraph" w:styleId="37">
    <w:name w:val="Body Text First Indent 2"/>
    <w:basedOn w:val="15"/>
    <w:semiHidden/>
    <w:qFormat/>
    <w:uiPriority w:val="99"/>
    <w:pPr>
      <w:spacing w:line="276" w:lineRule="auto"/>
      <w:ind w:firstLine="420" w:firstLineChars="200"/>
      <w:jc w:val="left"/>
    </w:pPr>
  </w:style>
  <w:style w:type="table" w:styleId="39">
    <w:name w:val="Table Grid"/>
    <w:basedOn w:val="38"/>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basedOn w:val="40"/>
    <w:qFormat/>
    <w:uiPriority w:val="22"/>
    <w:rPr>
      <w:b/>
      <w:bCs/>
    </w:rPr>
  </w:style>
  <w:style w:type="character" w:styleId="42">
    <w:name w:val="page number"/>
    <w:basedOn w:val="40"/>
    <w:qFormat/>
    <w:uiPriority w:val="99"/>
    <w:rPr>
      <w:rFonts w:cs="Times New Roman"/>
    </w:rPr>
  </w:style>
  <w:style w:type="character" w:styleId="43">
    <w:name w:val="FollowedHyperlink"/>
    <w:basedOn w:val="40"/>
    <w:qFormat/>
    <w:uiPriority w:val="99"/>
    <w:rPr>
      <w:color w:val="800080"/>
      <w:u w:val="single"/>
    </w:rPr>
  </w:style>
  <w:style w:type="character" w:styleId="44">
    <w:name w:val="Emphasis"/>
    <w:qFormat/>
    <w:uiPriority w:val="99"/>
    <w:rPr>
      <w:rFonts w:cs="Times New Roman"/>
      <w:color w:val="auto"/>
    </w:rPr>
  </w:style>
  <w:style w:type="character" w:styleId="45">
    <w:name w:val="HTML Definition"/>
    <w:basedOn w:val="40"/>
    <w:semiHidden/>
    <w:unhideWhenUsed/>
    <w:qFormat/>
    <w:uiPriority w:val="99"/>
    <w:rPr>
      <w:i/>
      <w:iCs/>
      <w:vertAlign w:val="baseline"/>
    </w:rPr>
  </w:style>
  <w:style w:type="character" w:styleId="46">
    <w:name w:val="HTML Acronym"/>
    <w:basedOn w:val="40"/>
    <w:qFormat/>
    <w:uiPriority w:val="99"/>
  </w:style>
  <w:style w:type="character" w:styleId="47">
    <w:name w:val="Hyperlink"/>
    <w:basedOn w:val="40"/>
    <w:qFormat/>
    <w:uiPriority w:val="99"/>
    <w:rPr>
      <w:color w:val="1F4F88"/>
      <w:u w:val="none"/>
    </w:rPr>
  </w:style>
  <w:style w:type="character" w:styleId="48">
    <w:name w:val="HTML Code"/>
    <w:basedOn w:val="40"/>
    <w:semiHidden/>
    <w:unhideWhenUsed/>
    <w:qFormat/>
    <w:uiPriority w:val="99"/>
    <w:rPr>
      <w:rFonts w:ascii="Consolas" w:hAnsi="Consolas" w:eastAsia="Consolas" w:cs="Consolas"/>
      <w:sz w:val="21"/>
      <w:szCs w:val="21"/>
    </w:rPr>
  </w:style>
  <w:style w:type="character" w:styleId="49">
    <w:name w:val="annotation reference"/>
    <w:basedOn w:val="40"/>
    <w:qFormat/>
    <w:uiPriority w:val="99"/>
    <w:rPr>
      <w:sz w:val="21"/>
    </w:rPr>
  </w:style>
  <w:style w:type="character" w:styleId="50">
    <w:name w:val="HTML Keyboard"/>
    <w:basedOn w:val="40"/>
    <w:semiHidden/>
    <w:unhideWhenUsed/>
    <w:qFormat/>
    <w:uiPriority w:val="99"/>
    <w:rPr>
      <w:rFonts w:hint="default" w:ascii="Consolas" w:hAnsi="Consolas" w:eastAsia="Consolas" w:cs="Consolas"/>
      <w:sz w:val="21"/>
      <w:szCs w:val="21"/>
    </w:rPr>
  </w:style>
  <w:style w:type="character" w:styleId="51">
    <w:name w:val="HTML Sample"/>
    <w:basedOn w:val="40"/>
    <w:semiHidden/>
    <w:unhideWhenUsed/>
    <w:qFormat/>
    <w:uiPriority w:val="99"/>
    <w:rPr>
      <w:rFonts w:hint="default" w:ascii="Consolas" w:hAnsi="Consolas" w:eastAsia="Consolas" w:cs="Consolas"/>
      <w:sz w:val="21"/>
      <w:szCs w:val="21"/>
    </w:rPr>
  </w:style>
  <w:style w:type="paragraph" w:customStyle="1" w:styleId="52">
    <w:name w:val="Fließtext"/>
    <w:basedOn w:val="1"/>
    <w:qFormat/>
    <w:uiPriority w:val="99"/>
    <w:pPr>
      <w:widowControl/>
      <w:ind w:left="1134"/>
      <w:jc w:val="left"/>
    </w:pPr>
    <w:rPr>
      <w:rFonts w:ascii="Arial" w:hAnsi="Arial"/>
      <w:kern w:val="0"/>
      <w:szCs w:val="20"/>
      <w:lang w:val="de-DE" w:eastAsia="de-DE"/>
    </w:rPr>
  </w:style>
  <w:style w:type="character" w:customStyle="1" w:styleId="53">
    <w:name w:val="标题 1 字符"/>
    <w:basedOn w:val="40"/>
    <w:link w:val="2"/>
    <w:qFormat/>
    <w:uiPriority w:val="9"/>
    <w:rPr>
      <w:rFonts w:ascii="Calibri" w:hAnsi="Calibri" w:eastAsia="宋体" w:cs="Times New Roman"/>
      <w:b/>
      <w:bCs/>
      <w:kern w:val="44"/>
      <w:sz w:val="36"/>
      <w:szCs w:val="44"/>
    </w:rPr>
  </w:style>
  <w:style w:type="character" w:customStyle="1" w:styleId="54">
    <w:name w:val="标题 2 字符"/>
    <w:basedOn w:val="40"/>
    <w:link w:val="3"/>
    <w:qFormat/>
    <w:uiPriority w:val="9"/>
    <w:rPr>
      <w:rFonts w:ascii="Arial" w:hAnsi="Arial" w:eastAsia="宋体" w:cs="Times New Roman"/>
      <w:b/>
      <w:bCs/>
      <w:sz w:val="24"/>
      <w:szCs w:val="32"/>
    </w:rPr>
  </w:style>
  <w:style w:type="character" w:customStyle="1" w:styleId="55">
    <w:name w:val="标题 3 字符"/>
    <w:basedOn w:val="40"/>
    <w:link w:val="4"/>
    <w:semiHidden/>
    <w:qFormat/>
    <w:uiPriority w:val="9"/>
    <w:rPr>
      <w:rFonts w:ascii="Calibri" w:hAnsi="Calibri" w:eastAsia="宋体" w:cs="Times New Roman"/>
      <w:b/>
      <w:bCs/>
      <w:sz w:val="32"/>
      <w:szCs w:val="32"/>
    </w:rPr>
  </w:style>
  <w:style w:type="character" w:customStyle="1" w:styleId="56">
    <w:name w:val="Char Char3"/>
    <w:qFormat/>
    <w:uiPriority w:val="0"/>
    <w:rPr>
      <w:rFonts w:ascii="宋体" w:hAnsi="Courier New" w:eastAsia="宋体"/>
      <w:kern w:val="2"/>
      <w:sz w:val="21"/>
      <w:lang w:val="en-US" w:eastAsia="zh-CN"/>
    </w:rPr>
  </w:style>
  <w:style w:type="character" w:customStyle="1" w:styleId="57">
    <w:name w:val="正文文本缩进 2 字符"/>
    <w:link w:val="22"/>
    <w:qFormat/>
    <w:locked/>
    <w:uiPriority w:val="0"/>
  </w:style>
  <w:style w:type="character" w:customStyle="1" w:styleId="58">
    <w:name w:val="批注主题 字符"/>
    <w:link w:val="36"/>
    <w:qFormat/>
    <w:locked/>
    <w:uiPriority w:val="0"/>
    <w:rPr>
      <w:b/>
    </w:rPr>
  </w:style>
  <w:style w:type="character" w:customStyle="1" w:styleId="59">
    <w:name w:val="正文文本缩进 3 字符"/>
    <w:link w:val="30"/>
    <w:qFormat/>
    <w:locked/>
    <w:uiPriority w:val="0"/>
    <w:rPr>
      <w:sz w:val="16"/>
    </w:rPr>
  </w:style>
  <w:style w:type="character" w:customStyle="1" w:styleId="60">
    <w:name w:val="纯文本 Char"/>
    <w:qFormat/>
    <w:uiPriority w:val="0"/>
    <w:rPr>
      <w:rFonts w:ascii="宋体" w:hAnsi="Courier New" w:eastAsia="宋体"/>
      <w:kern w:val="2"/>
      <w:sz w:val="21"/>
      <w:lang w:val="en-US" w:eastAsia="zh-CN"/>
    </w:rPr>
  </w:style>
  <w:style w:type="character" w:customStyle="1" w:styleId="61">
    <w:name w:val="Char Char2"/>
    <w:qFormat/>
    <w:uiPriority w:val="0"/>
    <w:rPr>
      <w:rFonts w:ascii="宋体" w:hAnsi="Courier New"/>
      <w:kern w:val="2"/>
      <w:sz w:val="21"/>
    </w:rPr>
  </w:style>
  <w:style w:type="character" w:customStyle="1" w:styleId="62">
    <w:name w:val="列出段落 字符"/>
    <w:link w:val="63"/>
    <w:qFormat/>
    <w:locked/>
    <w:uiPriority w:val="34"/>
    <w:rPr>
      <w:sz w:val="22"/>
    </w:rPr>
  </w:style>
  <w:style w:type="paragraph" w:customStyle="1" w:styleId="63">
    <w:name w:val="列出段落1"/>
    <w:basedOn w:val="1"/>
    <w:link w:val="62"/>
    <w:qFormat/>
    <w:uiPriority w:val="34"/>
    <w:pPr>
      <w:ind w:firstLine="420" w:firstLineChars="200"/>
    </w:pPr>
    <w:rPr>
      <w:sz w:val="22"/>
    </w:rPr>
  </w:style>
  <w:style w:type="character" w:customStyle="1" w:styleId="64">
    <w:name w:val="apple-converted-space"/>
    <w:basedOn w:val="40"/>
    <w:qFormat/>
    <w:uiPriority w:val="0"/>
    <w:rPr>
      <w:rFonts w:cs="Times New Roman"/>
    </w:rPr>
  </w:style>
  <w:style w:type="character" w:customStyle="1" w:styleId="65">
    <w:name w:val="页眉 字符"/>
    <w:link w:val="25"/>
    <w:qFormat/>
    <w:locked/>
    <w:uiPriority w:val="0"/>
    <w:rPr>
      <w:sz w:val="18"/>
    </w:rPr>
  </w:style>
  <w:style w:type="character" w:customStyle="1" w:styleId="66">
    <w:name w:val="BODY TEXT Char"/>
    <w:qFormat/>
    <w:locked/>
    <w:uiPriority w:val="0"/>
    <w:rPr>
      <w:rFonts w:eastAsia="新宋体"/>
      <w:kern w:val="2"/>
      <w:sz w:val="21"/>
    </w:rPr>
  </w:style>
  <w:style w:type="character" w:customStyle="1" w:styleId="67">
    <w:name w:val="批注文字 字符"/>
    <w:link w:val="11"/>
    <w:qFormat/>
    <w:locked/>
    <w:uiPriority w:val="0"/>
  </w:style>
  <w:style w:type="character" w:customStyle="1" w:styleId="68">
    <w:name w:val="标题 字符"/>
    <w:link w:val="35"/>
    <w:qFormat/>
    <w:locked/>
    <w:uiPriority w:val="0"/>
    <w:rPr>
      <w:rFonts w:ascii="Arial" w:hAnsi="Arial"/>
      <w:b/>
      <w:sz w:val="32"/>
    </w:rPr>
  </w:style>
  <w:style w:type="character" w:customStyle="1" w:styleId="69">
    <w:name w:val="日期 字符"/>
    <w:link w:val="21"/>
    <w:qFormat/>
    <w:locked/>
    <w:uiPriority w:val="0"/>
    <w:rPr>
      <w:sz w:val="24"/>
    </w:rPr>
  </w:style>
  <w:style w:type="character" w:customStyle="1" w:styleId="70">
    <w:name w:val="ATXT_Bullets Zchn"/>
    <w:link w:val="71"/>
    <w:qFormat/>
    <w:locked/>
    <w:uiPriority w:val="99"/>
    <w:rPr>
      <w:rFonts w:ascii="Arial" w:hAnsi="Arial"/>
      <w:lang w:val="de-AT" w:eastAsia="zh-CN"/>
    </w:rPr>
  </w:style>
  <w:style w:type="paragraph" w:customStyle="1" w:styleId="71">
    <w:name w:val="ATXT_Bullets"/>
    <w:link w:val="70"/>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2">
    <w:name w:val="Char Char5"/>
    <w:qFormat/>
    <w:uiPriority w:val="0"/>
    <w:rPr>
      <w:rFonts w:ascii="宋体" w:hAnsi="Courier New" w:eastAsia="宋体"/>
      <w:kern w:val="2"/>
      <w:sz w:val="21"/>
      <w:lang w:val="en-US" w:eastAsia="zh-CN"/>
    </w:rPr>
  </w:style>
  <w:style w:type="character" w:customStyle="1" w:styleId="73">
    <w:name w:val="批注框文本 字符"/>
    <w:link w:val="23"/>
    <w:qFormat/>
    <w:locked/>
    <w:uiPriority w:val="0"/>
    <w:rPr>
      <w:sz w:val="18"/>
    </w:rPr>
  </w:style>
  <w:style w:type="character" w:customStyle="1" w:styleId="74">
    <w:name w:val="批注文字 Char"/>
    <w:qFormat/>
    <w:uiPriority w:val="0"/>
    <w:rPr>
      <w:kern w:val="2"/>
    </w:rPr>
  </w:style>
  <w:style w:type="character" w:customStyle="1" w:styleId="75">
    <w:name w:val="批注主题 Char"/>
    <w:qFormat/>
    <w:uiPriority w:val="0"/>
    <w:rPr>
      <w:b/>
      <w:kern w:val="2"/>
    </w:rPr>
  </w:style>
  <w:style w:type="character" w:customStyle="1" w:styleId="76">
    <w:name w:val="文档结构图 字符"/>
    <w:link w:val="9"/>
    <w:qFormat/>
    <w:locked/>
    <w:uiPriority w:val="0"/>
    <w:rPr>
      <w:sz w:val="24"/>
      <w:shd w:val="clear" w:color="auto" w:fill="000080"/>
    </w:rPr>
  </w:style>
  <w:style w:type="character" w:customStyle="1" w:styleId="77">
    <w:name w:val="HTML Markup"/>
    <w:qFormat/>
    <w:uiPriority w:val="0"/>
    <w:rPr>
      <w:vanish/>
      <w:color w:val="FF0000"/>
    </w:rPr>
  </w:style>
  <w:style w:type="character" w:customStyle="1" w:styleId="78">
    <w:name w:val="纯文本 字符"/>
    <w:link w:val="19"/>
    <w:qFormat/>
    <w:locked/>
    <w:uiPriority w:val="0"/>
    <w:rPr>
      <w:rFonts w:ascii="宋体" w:hAnsi="Courier New"/>
    </w:rPr>
  </w:style>
  <w:style w:type="character" w:customStyle="1" w:styleId="79">
    <w:name w:val="页脚 字符"/>
    <w:link w:val="24"/>
    <w:qFormat/>
    <w:locked/>
    <w:uiPriority w:val="99"/>
    <w:rPr>
      <w:sz w:val="18"/>
    </w:rPr>
  </w:style>
  <w:style w:type="character" w:customStyle="1" w:styleId="80">
    <w:name w:val="Default Char"/>
    <w:link w:val="81"/>
    <w:qFormat/>
    <w:locked/>
    <w:uiPriority w:val="0"/>
    <w:rPr>
      <w:rFonts w:ascii="仿宋_GB2312" w:eastAsia="仿宋_GB2312"/>
      <w:color w:val="000000"/>
      <w:sz w:val="24"/>
    </w:rPr>
  </w:style>
  <w:style w:type="paragraph" w:customStyle="1" w:styleId="81">
    <w:name w:val="Default"/>
    <w:link w:val="80"/>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2">
    <w:name w:val="页脚 Char"/>
    <w:qFormat/>
    <w:locked/>
    <w:uiPriority w:val="99"/>
    <w:rPr>
      <w:sz w:val="18"/>
    </w:rPr>
  </w:style>
  <w:style w:type="character" w:customStyle="1" w:styleId="83">
    <w:name w:val="批注文字 字符1"/>
    <w:basedOn w:val="40"/>
    <w:semiHidden/>
    <w:qFormat/>
    <w:uiPriority w:val="99"/>
  </w:style>
  <w:style w:type="character" w:customStyle="1" w:styleId="84">
    <w:name w:val="批注文字 字符11"/>
    <w:basedOn w:val="40"/>
    <w:qFormat/>
    <w:uiPriority w:val="0"/>
    <w:rPr>
      <w:rFonts w:cs="Times New Roman"/>
      <w:kern w:val="2"/>
      <w:sz w:val="21"/>
    </w:rPr>
  </w:style>
  <w:style w:type="character" w:customStyle="1" w:styleId="85">
    <w:name w:val="正文文本缩进 字符"/>
    <w:basedOn w:val="40"/>
    <w:link w:val="15"/>
    <w:qFormat/>
    <w:uiPriority w:val="99"/>
    <w:rPr>
      <w:rFonts w:ascii="Calibri" w:hAnsi="Calibri" w:eastAsia="宋体" w:cs="Times New Roman"/>
      <w:szCs w:val="20"/>
    </w:rPr>
  </w:style>
  <w:style w:type="character" w:customStyle="1" w:styleId="86">
    <w:name w:val="文档结构图 字符1"/>
    <w:basedOn w:val="40"/>
    <w:semiHidden/>
    <w:qFormat/>
    <w:uiPriority w:val="99"/>
    <w:rPr>
      <w:rFonts w:ascii="Microsoft YaHei UI" w:eastAsia="Microsoft YaHei UI"/>
      <w:sz w:val="18"/>
      <w:szCs w:val="18"/>
    </w:rPr>
  </w:style>
  <w:style w:type="character" w:customStyle="1" w:styleId="87">
    <w:name w:val="文档结构图 字符11"/>
    <w:basedOn w:val="40"/>
    <w:semiHidden/>
    <w:qFormat/>
    <w:uiPriority w:val="99"/>
    <w:rPr>
      <w:rFonts w:ascii="Microsoft YaHei UI" w:eastAsia="Microsoft YaHei UI" w:cs="Times New Roman"/>
      <w:kern w:val="2"/>
      <w:sz w:val="18"/>
      <w:szCs w:val="18"/>
    </w:rPr>
  </w:style>
  <w:style w:type="character" w:customStyle="1" w:styleId="88">
    <w:name w:val="正文文本 字符"/>
    <w:basedOn w:val="40"/>
    <w:link w:val="13"/>
    <w:qFormat/>
    <w:uiPriority w:val="99"/>
    <w:rPr>
      <w:rFonts w:ascii="Calibri" w:hAnsi="Calibri" w:eastAsia="新宋体" w:cs="Times New Roman"/>
      <w:szCs w:val="21"/>
    </w:rPr>
  </w:style>
  <w:style w:type="character" w:customStyle="1" w:styleId="89">
    <w:name w:val="纯文本 字符1"/>
    <w:basedOn w:val="40"/>
    <w:semiHidden/>
    <w:qFormat/>
    <w:uiPriority w:val="99"/>
    <w:rPr>
      <w:rFonts w:hAnsi="Courier New" w:cs="Courier New" w:asciiTheme="minorEastAsia"/>
    </w:rPr>
  </w:style>
  <w:style w:type="character" w:customStyle="1" w:styleId="90">
    <w:name w:val="纯文本 字符11"/>
    <w:basedOn w:val="40"/>
    <w:qFormat/>
    <w:uiPriority w:val="0"/>
    <w:rPr>
      <w:rFonts w:hAnsi="Courier New" w:cs="Courier New" w:asciiTheme="minorEastAsia" w:eastAsiaTheme="minorEastAsia"/>
      <w:kern w:val="2"/>
      <w:sz w:val="21"/>
    </w:rPr>
  </w:style>
  <w:style w:type="character" w:customStyle="1" w:styleId="91">
    <w:name w:val="页眉 字符1"/>
    <w:basedOn w:val="40"/>
    <w:semiHidden/>
    <w:qFormat/>
    <w:uiPriority w:val="99"/>
    <w:rPr>
      <w:sz w:val="18"/>
      <w:szCs w:val="18"/>
    </w:rPr>
  </w:style>
  <w:style w:type="character" w:customStyle="1" w:styleId="92">
    <w:name w:val="页眉 字符11"/>
    <w:basedOn w:val="40"/>
    <w:semiHidden/>
    <w:qFormat/>
    <w:uiPriority w:val="99"/>
    <w:rPr>
      <w:rFonts w:cs="Times New Roman"/>
      <w:kern w:val="2"/>
      <w:sz w:val="18"/>
      <w:szCs w:val="18"/>
    </w:rPr>
  </w:style>
  <w:style w:type="character" w:customStyle="1" w:styleId="93">
    <w:name w:val="批注框文本 字符1"/>
    <w:basedOn w:val="40"/>
    <w:semiHidden/>
    <w:qFormat/>
    <w:uiPriority w:val="99"/>
    <w:rPr>
      <w:sz w:val="18"/>
      <w:szCs w:val="18"/>
    </w:rPr>
  </w:style>
  <w:style w:type="character" w:customStyle="1" w:styleId="94">
    <w:name w:val="批注框文本 字符11"/>
    <w:basedOn w:val="40"/>
    <w:semiHidden/>
    <w:qFormat/>
    <w:uiPriority w:val="99"/>
    <w:rPr>
      <w:rFonts w:cs="Times New Roman"/>
      <w:kern w:val="2"/>
      <w:sz w:val="18"/>
      <w:szCs w:val="18"/>
    </w:rPr>
  </w:style>
  <w:style w:type="character" w:customStyle="1" w:styleId="95">
    <w:name w:val="日期 字符1"/>
    <w:basedOn w:val="40"/>
    <w:semiHidden/>
    <w:qFormat/>
    <w:uiPriority w:val="99"/>
  </w:style>
  <w:style w:type="character" w:customStyle="1" w:styleId="96">
    <w:name w:val="日期 字符11"/>
    <w:basedOn w:val="40"/>
    <w:semiHidden/>
    <w:qFormat/>
    <w:uiPriority w:val="99"/>
    <w:rPr>
      <w:rFonts w:cs="Times New Roman"/>
      <w:kern w:val="2"/>
      <w:sz w:val="21"/>
    </w:rPr>
  </w:style>
  <w:style w:type="character" w:customStyle="1" w:styleId="97">
    <w:name w:val="页脚 字符1"/>
    <w:basedOn w:val="40"/>
    <w:semiHidden/>
    <w:qFormat/>
    <w:uiPriority w:val="99"/>
    <w:rPr>
      <w:sz w:val="18"/>
      <w:szCs w:val="18"/>
    </w:rPr>
  </w:style>
  <w:style w:type="character" w:customStyle="1" w:styleId="98">
    <w:name w:val="页脚 字符11"/>
    <w:basedOn w:val="40"/>
    <w:semiHidden/>
    <w:qFormat/>
    <w:uiPriority w:val="99"/>
    <w:rPr>
      <w:rFonts w:cs="Times New Roman"/>
      <w:kern w:val="2"/>
      <w:sz w:val="18"/>
      <w:szCs w:val="18"/>
    </w:rPr>
  </w:style>
  <w:style w:type="character" w:customStyle="1" w:styleId="99">
    <w:name w:val="正文文本缩进 2 字符1"/>
    <w:basedOn w:val="40"/>
    <w:semiHidden/>
    <w:qFormat/>
    <w:uiPriority w:val="99"/>
  </w:style>
  <w:style w:type="character" w:customStyle="1" w:styleId="100">
    <w:name w:val="正文文本缩进 2 字符11"/>
    <w:basedOn w:val="40"/>
    <w:semiHidden/>
    <w:qFormat/>
    <w:uiPriority w:val="99"/>
    <w:rPr>
      <w:rFonts w:cs="Times New Roman"/>
      <w:kern w:val="2"/>
      <w:sz w:val="21"/>
    </w:rPr>
  </w:style>
  <w:style w:type="character" w:customStyle="1" w:styleId="101">
    <w:name w:val="正文文本缩进 3 字符1"/>
    <w:basedOn w:val="40"/>
    <w:semiHidden/>
    <w:qFormat/>
    <w:uiPriority w:val="99"/>
    <w:rPr>
      <w:sz w:val="16"/>
      <w:szCs w:val="16"/>
    </w:rPr>
  </w:style>
  <w:style w:type="character" w:customStyle="1" w:styleId="102">
    <w:name w:val="正文文本缩进 3 字符11"/>
    <w:basedOn w:val="40"/>
    <w:semiHidden/>
    <w:qFormat/>
    <w:uiPriority w:val="99"/>
    <w:rPr>
      <w:rFonts w:cs="Times New Roman"/>
      <w:kern w:val="2"/>
      <w:sz w:val="16"/>
      <w:szCs w:val="16"/>
    </w:rPr>
  </w:style>
  <w:style w:type="character" w:customStyle="1" w:styleId="103">
    <w:name w:val="批注主题 字符1"/>
    <w:basedOn w:val="83"/>
    <w:semiHidden/>
    <w:qFormat/>
    <w:uiPriority w:val="99"/>
    <w:rPr>
      <w:b/>
      <w:bCs/>
    </w:rPr>
  </w:style>
  <w:style w:type="character" w:customStyle="1" w:styleId="104">
    <w:name w:val="批注主题 字符11"/>
    <w:basedOn w:val="84"/>
    <w:semiHidden/>
    <w:qFormat/>
    <w:uiPriority w:val="99"/>
    <w:rPr>
      <w:rFonts w:cs="Times New Roman"/>
      <w:b/>
      <w:bCs/>
      <w:kern w:val="2"/>
      <w:sz w:val="21"/>
    </w:rPr>
  </w:style>
  <w:style w:type="character" w:customStyle="1" w:styleId="105">
    <w:name w:val="标题 字符1"/>
    <w:basedOn w:val="40"/>
    <w:qFormat/>
    <w:uiPriority w:val="10"/>
    <w:rPr>
      <w:rFonts w:asciiTheme="majorHAnsi" w:hAnsiTheme="majorHAnsi" w:eastAsiaTheme="majorEastAsia" w:cstheme="majorBidi"/>
      <w:b/>
      <w:bCs/>
      <w:sz w:val="32"/>
      <w:szCs w:val="32"/>
    </w:rPr>
  </w:style>
  <w:style w:type="character" w:customStyle="1" w:styleId="106">
    <w:name w:val="标题 字符11"/>
    <w:basedOn w:val="40"/>
    <w:qFormat/>
    <w:uiPriority w:val="10"/>
    <w:rPr>
      <w:rFonts w:cs="Times New Roman" w:asciiTheme="majorHAnsi" w:hAnsiTheme="majorHAnsi" w:eastAsiaTheme="majorEastAsia"/>
      <w:b/>
      <w:bCs/>
      <w:kern w:val="2"/>
      <w:sz w:val="32"/>
      <w:szCs w:val="32"/>
    </w:rPr>
  </w:style>
  <w:style w:type="paragraph" w:customStyle="1" w:styleId="107">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8">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9">
    <w:name w:val="二级列表 Char"/>
    <w:basedOn w:val="1"/>
    <w:qFormat/>
    <w:uiPriority w:val="0"/>
    <w:rPr>
      <w:rFonts w:ascii="Calibri" w:hAnsi="Calibri" w:eastAsia="宋体" w:cs="Times New Roman"/>
      <w:szCs w:val="20"/>
    </w:rPr>
  </w:style>
  <w:style w:type="paragraph" w:customStyle="1" w:styleId="110">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1">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2">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3">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4">
    <w:name w:val="Char Char Char Char Char Char Char"/>
    <w:basedOn w:val="1"/>
    <w:qFormat/>
    <w:uiPriority w:val="0"/>
    <w:rPr>
      <w:rFonts w:ascii="Verdana" w:hAnsi="Verdana" w:eastAsia="宋体" w:cs="Times New Roman"/>
      <w:kern w:val="0"/>
      <w:sz w:val="20"/>
      <w:szCs w:val="20"/>
      <w:lang w:eastAsia="en-US"/>
    </w:rPr>
  </w:style>
  <w:style w:type="paragraph" w:customStyle="1" w:styleId="115">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6">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7">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8">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9">
    <w:name w:val="标书正文格式"/>
    <w:basedOn w:val="19"/>
    <w:link w:val="121"/>
    <w:qFormat/>
    <w:uiPriority w:val="0"/>
    <w:pPr>
      <w:spacing w:line="360" w:lineRule="auto"/>
      <w:ind w:firstLine="200" w:firstLineChars="200"/>
    </w:pPr>
    <w:rPr>
      <w:rFonts w:hAnsi="宋体"/>
      <w:color w:val="000000"/>
      <w:sz w:val="24"/>
      <w:szCs w:val="24"/>
    </w:rPr>
  </w:style>
  <w:style w:type="paragraph" w:customStyle="1" w:styleId="120">
    <w:name w:val="标书二级标题"/>
    <w:basedOn w:val="3"/>
    <w:link w:val="123"/>
    <w:qFormat/>
    <w:uiPriority w:val="0"/>
    <w:pPr>
      <w:spacing w:line="240" w:lineRule="auto"/>
      <w:jc w:val="left"/>
    </w:pPr>
    <w:rPr>
      <w:rFonts w:ascii="宋体" w:hAnsi="宋体" w:eastAsia="黑体"/>
      <w:sz w:val="28"/>
      <w:szCs w:val="30"/>
    </w:rPr>
  </w:style>
  <w:style w:type="character" w:customStyle="1" w:styleId="121">
    <w:name w:val="标书正文格式 字符"/>
    <w:link w:val="119"/>
    <w:qFormat/>
    <w:locked/>
    <w:uiPriority w:val="0"/>
    <w:rPr>
      <w:rFonts w:ascii="宋体" w:hAnsi="宋体"/>
      <w:color w:val="000000"/>
      <w:sz w:val="24"/>
      <w:szCs w:val="24"/>
    </w:rPr>
  </w:style>
  <w:style w:type="paragraph" w:customStyle="1" w:styleId="122">
    <w:name w:val="标书表格"/>
    <w:basedOn w:val="1"/>
    <w:link w:val="124"/>
    <w:qFormat/>
    <w:uiPriority w:val="0"/>
    <w:pPr>
      <w:jc w:val="center"/>
    </w:pPr>
    <w:rPr>
      <w:rFonts w:ascii="Times New Roman" w:hAnsi="Times New Roman" w:eastAsia="宋体" w:cs="Times New Roman"/>
      <w:b/>
      <w:szCs w:val="20"/>
    </w:rPr>
  </w:style>
  <w:style w:type="character" w:customStyle="1" w:styleId="123">
    <w:name w:val="标书二级标题 字符"/>
    <w:link w:val="120"/>
    <w:qFormat/>
    <w:locked/>
    <w:uiPriority w:val="0"/>
    <w:rPr>
      <w:rFonts w:ascii="宋体" w:hAnsi="宋体" w:eastAsia="黑体" w:cs="Times New Roman"/>
      <w:bCs/>
      <w:sz w:val="28"/>
      <w:szCs w:val="30"/>
    </w:rPr>
  </w:style>
  <w:style w:type="character" w:customStyle="1" w:styleId="124">
    <w:name w:val="标书表格 字符"/>
    <w:link w:val="122"/>
    <w:qFormat/>
    <w:locked/>
    <w:uiPriority w:val="0"/>
    <w:rPr>
      <w:rFonts w:ascii="Times New Roman" w:hAnsi="Times New Roman" w:eastAsia="宋体" w:cs="Times New Roman"/>
      <w:b/>
      <w:szCs w:val="20"/>
    </w:rPr>
  </w:style>
  <w:style w:type="paragraph" w:customStyle="1" w:styleId="125">
    <w:name w:val="标书三级标题"/>
    <w:basedOn w:val="4"/>
    <w:next w:val="119"/>
    <w:link w:val="126"/>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6">
    <w:name w:val="标书三级标题 字符"/>
    <w:link w:val="125"/>
    <w:qFormat/>
    <w:locked/>
    <w:uiPriority w:val="0"/>
    <w:rPr>
      <w:rFonts w:ascii="Times New Roman" w:hAnsi="Times New Roman" w:eastAsia="宋体" w:cs="Times New Roman"/>
      <w:b/>
      <w:bCs/>
      <w:color w:val="000000"/>
      <w:sz w:val="24"/>
      <w:szCs w:val="24"/>
    </w:rPr>
  </w:style>
  <w:style w:type="character" w:customStyle="1" w:styleId="127">
    <w:name w:val="标三级标题 字符"/>
    <w:link w:val="128"/>
    <w:qFormat/>
    <w:locked/>
    <w:uiPriority w:val="0"/>
    <w:rPr>
      <w:b/>
      <w:color w:val="000000"/>
      <w:sz w:val="24"/>
    </w:rPr>
  </w:style>
  <w:style w:type="paragraph" w:customStyle="1" w:styleId="128">
    <w:name w:val="标三级标题"/>
    <w:basedOn w:val="125"/>
    <w:link w:val="127"/>
    <w:qFormat/>
    <w:uiPriority w:val="0"/>
    <w:rPr>
      <w:rFonts w:asciiTheme="minorHAnsi" w:hAnsiTheme="minorHAnsi" w:eastAsiaTheme="minorEastAsia" w:cstheme="minorBidi"/>
      <w:bCs w:val="0"/>
      <w:szCs w:val="22"/>
    </w:rPr>
  </w:style>
  <w:style w:type="character" w:customStyle="1" w:styleId="129">
    <w:name w:val="标正文 字符"/>
    <w:link w:val="130"/>
    <w:qFormat/>
    <w:locked/>
    <w:uiPriority w:val="0"/>
    <w:rPr>
      <w:rFonts w:ascii="宋体" w:eastAsia="宋体"/>
      <w:color w:val="000000"/>
      <w:sz w:val="24"/>
    </w:rPr>
  </w:style>
  <w:style w:type="paragraph" w:customStyle="1" w:styleId="130">
    <w:name w:val="标正文"/>
    <w:basedOn w:val="119"/>
    <w:link w:val="129"/>
    <w:qFormat/>
    <w:uiPriority w:val="0"/>
    <w:pPr>
      <w:ind w:firstLine="480"/>
    </w:pPr>
    <w:rPr>
      <w:rFonts w:eastAsia="宋体" w:hAnsiTheme="minorHAnsi"/>
      <w:szCs w:val="22"/>
    </w:rPr>
  </w:style>
  <w:style w:type="paragraph" w:customStyle="1" w:styleId="131">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2">
    <w:name w:val="HR正文表格"/>
    <w:basedOn w:val="1"/>
    <w:qFormat/>
    <w:uiPriority w:val="0"/>
    <w:pPr>
      <w:spacing w:beforeLines="25" w:afterLines="25" w:line="300" w:lineRule="auto"/>
    </w:pPr>
    <w:rPr>
      <w:szCs w:val="24"/>
    </w:rPr>
  </w:style>
  <w:style w:type="paragraph" w:styleId="133">
    <w:name w:val="List Paragraph"/>
    <w:basedOn w:val="1"/>
    <w:qFormat/>
    <w:uiPriority w:val="99"/>
    <w:pPr>
      <w:ind w:firstLine="420" w:firstLineChars="200"/>
    </w:pPr>
  </w:style>
  <w:style w:type="paragraph" w:customStyle="1" w:styleId="134">
    <w:name w:val="WPSOffice手动目录 1"/>
    <w:qFormat/>
    <w:uiPriority w:val="0"/>
    <w:rPr>
      <w:rFonts w:ascii="Times New Roman" w:hAnsi="Times New Roman" w:eastAsia="宋体" w:cs="Times New Roman"/>
      <w:lang w:val="en-US" w:eastAsia="zh-CN" w:bidi="ar-SA"/>
    </w:rPr>
  </w:style>
  <w:style w:type="table" w:customStyle="1" w:styleId="135">
    <w:name w:val="Table Normal"/>
    <w:semiHidden/>
    <w:unhideWhenUsed/>
    <w:qFormat/>
    <w:uiPriority w:val="0"/>
    <w:tblPr>
      <w:tblCellMar>
        <w:top w:w="0" w:type="dxa"/>
        <w:left w:w="0" w:type="dxa"/>
        <w:bottom w:w="0" w:type="dxa"/>
        <w:right w:w="0" w:type="dxa"/>
      </w:tblCellMar>
    </w:tblPr>
  </w:style>
  <w:style w:type="character" w:customStyle="1" w:styleId="136">
    <w:name w:val="NormalCharacter"/>
    <w:qFormat/>
    <w:uiPriority w:val="0"/>
  </w:style>
  <w:style w:type="paragraph" w:customStyle="1" w:styleId="137">
    <w:name w:val="Table Paragraph"/>
    <w:basedOn w:val="1"/>
    <w:qFormat/>
    <w:uiPriority w:val="1"/>
    <w:rPr>
      <w:rFonts w:ascii="宋体" w:hAnsi="宋体" w:eastAsia="宋体" w:cs="宋体"/>
    </w:rPr>
  </w:style>
  <w:style w:type="paragraph" w:customStyle="1" w:styleId="138">
    <w:name w:val="标书一级标题"/>
    <w:basedOn w:val="2"/>
    <w:qFormat/>
    <w:uiPriority w:val="0"/>
    <w:rPr>
      <w:rFonts w:eastAsia="黑体"/>
      <w:b w:val="0"/>
      <w:color w:val="000000"/>
      <w:sz w:val="30"/>
      <w:szCs w:val="24"/>
    </w:rPr>
  </w:style>
  <w:style w:type="paragraph" w:customStyle="1" w:styleId="139">
    <w:name w:val="无间隔1"/>
    <w:qFormat/>
    <w:uiPriority w:val="0"/>
    <w:rPr>
      <w:rFonts w:ascii="Calibri" w:hAnsi="Calibri" w:eastAsia="Calibri" w:cs="Times New Roman"/>
      <w:szCs w:val="22"/>
      <w:lang w:val="en-GB" w:eastAsia="en-US" w:bidi="ar-SA"/>
    </w:rPr>
  </w:style>
  <w:style w:type="character" w:customStyle="1" w:styleId="140">
    <w:name w:val="font21"/>
    <w:basedOn w:val="40"/>
    <w:qFormat/>
    <w:uiPriority w:val="0"/>
    <w:rPr>
      <w:rFonts w:hint="eastAsia" w:ascii="宋体" w:hAnsi="宋体" w:eastAsia="宋体" w:cs="宋体"/>
      <w:color w:val="000000"/>
      <w:sz w:val="24"/>
      <w:szCs w:val="24"/>
      <w:u w:val="none"/>
    </w:rPr>
  </w:style>
  <w:style w:type="character" w:customStyle="1" w:styleId="141">
    <w:name w:val="font01"/>
    <w:basedOn w:val="40"/>
    <w:qFormat/>
    <w:uiPriority w:val="0"/>
    <w:rPr>
      <w:rFonts w:hint="eastAsia" w:ascii="宋体" w:hAnsi="宋体" w:eastAsia="宋体" w:cs="宋体"/>
      <w:color w:val="000000"/>
      <w:sz w:val="18"/>
      <w:szCs w:val="18"/>
      <w:u w:val="none"/>
    </w:rPr>
  </w:style>
  <w:style w:type="character" w:customStyle="1" w:styleId="142">
    <w:name w:val="15"/>
    <w:qFormat/>
    <w:uiPriority w:val="0"/>
    <w:rPr>
      <w:rFonts w:hint="eastAsia" w:ascii="微软雅黑" w:hAnsi="微软雅黑" w:eastAsia="微软雅黑"/>
      <w:color w:val="000000"/>
      <w:sz w:val="22"/>
      <w:szCs w:val="22"/>
    </w:rPr>
  </w:style>
  <w:style w:type="paragraph" w:customStyle="1" w:styleId="143">
    <w:name w:val="1正文段落"/>
    <w:basedOn w:val="1"/>
    <w:qFormat/>
    <w:uiPriority w:val="0"/>
    <w:pPr>
      <w:spacing w:line="360" w:lineRule="auto"/>
      <w:ind w:firstLine="480" w:firstLineChars="200"/>
      <w:jc w:val="left"/>
    </w:pPr>
    <w:rPr>
      <w:kern w:val="0"/>
      <w:szCs w:val="20"/>
    </w:rPr>
  </w:style>
  <w:style w:type="character" w:customStyle="1" w:styleId="144">
    <w:name w:val="ant-tree-checkbox8"/>
    <w:basedOn w:val="40"/>
    <w:qFormat/>
    <w:uiPriority w:val="0"/>
  </w:style>
  <w:style w:type="character" w:customStyle="1" w:styleId="145">
    <w:name w:val="ant-select-tree-iconele"/>
    <w:basedOn w:val="40"/>
    <w:qFormat/>
    <w:uiPriority w:val="0"/>
  </w:style>
  <w:style w:type="character" w:customStyle="1" w:styleId="146">
    <w:name w:val="wea-dropdown-triangle"/>
    <w:basedOn w:val="40"/>
    <w:qFormat/>
    <w:uiPriority w:val="0"/>
  </w:style>
  <w:style w:type="character" w:customStyle="1" w:styleId="147">
    <w:name w:val="button"/>
    <w:basedOn w:val="40"/>
    <w:qFormat/>
    <w:uiPriority w:val="0"/>
  </w:style>
  <w:style w:type="character" w:customStyle="1" w:styleId="148">
    <w:name w:val="button1"/>
    <w:basedOn w:val="40"/>
    <w:qFormat/>
    <w:uiPriority w:val="0"/>
  </w:style>
  <w:style w:type="character" w:customStyle="1" w:styleId="149">
    <w:name w:val="hover34"/>
    <w:basedOn w:val="40"/>
    <w:qFormat/>
    <w:uiPriority w:val="0"/>
    <w:rPr>
      <w:color w:val="009DFF"/>
    </w:rPr>
  </w:style>
  <w:style w:type="character" w:customStyle="1" w:styleId="150">
    <w:name w:val="hover35"/>
    <w:basedOn w:val="40"/>
    <w:qFormat/>
    <w:uiPriority w:val="0"/>
    <w:rPr>
      <w:color w:val="009DFF"/>
    </w:rPr>
  </w:style>
  <w:style w:type="character" w:customStyle="1" w:styleId="151">
    <w:name w:val="first-of-type"/>
    <w:basedOn w:val="40"/>
    <w:qFormat/>
    <w:uiPriority w:val="0"/>
    <w:rPr>
      <w:color w:val="FF0000"/>
    </w:rPr>
  </w:style>
  <w:style w:type="character" w:customStyle="1" w:styleId="152">
    <w:name w:val="first-of-type1"/>
    <w:basedOn w:val="40"/>
    <w:qFormat/>
    <w:uiPriority w:val="0"/>
    <w:rPr>
      <w:color w:val="FF0000"/>
    </w:rPr>
  </w:style>
  <w:style w:type="character" w:customStyle="1" w:styleId="153">
    <w:name w:val="not-pass-node"/>
    <w:basedOn w:val="40"/>
    <w:qFormat/>
    <w:uiPriority w:val="0"/>
    <w:rPr>
      <w:bdr w:val="single" w:color="5ABD6B" w:sz="6" w:space="0"/>
      <w:shd w:val="clear" w:fill="BFF3C3"/>
    </w:rPr>
  </w:style>
  <w:style w:type="character" w:customStyle="1" w:styleId="154">
    <w:name w:val="ant-tree-switcher8"/>
    <w:basedOn w:val="40"/>
    <w:qFormat/>
    <w:uiPriority w:val="0"/>
  </w:style>
  <w:style w:type="character" w:customStyle="1" w:styleId="155">
    <w:name w:val="ant-radio+*"/>
    <w:basedOn w:val="40"/>
    <w:qFormat/>
    <w:uiPriority w:val="0"/>
  </w:style>
  <w:style w:type="character" w:customStyle="1" w:styleId="156">
    <w:name w:val="ant-select-tree-checkbox"/>
    <w:basedOn w:val="40"/>
    <w:qFormat/>
    <w:uiPriority w:val="0"/>
  </w:style>
  <w:style w:type="character" w:customStyle="1" w:styleId="157">
    <w:name w:val="isrevision"/>
    <w:basedOn w:val="40"/>
    <w:qFormat/>
    <w:uiPriority w:val="0"/>
    <w:rPr>
      <w:color w:val="000000"/>
      <w:sz w:val="18"/>
      <w:szCs w:val="18"/>
      <w:bdr w:val="single" w:color="E9E9E9" w:sz="6" w:space="0"/>
      <w:shd w:val="clear" w:fill="FFFFFF"/>
    </w:rPr>
  </w:style>
  <w:style w:type="character" w:customStyle="1" w:styleId="158">
    <w:name w:val="disabled4"/>
    <w:basedOn w:val="40"/>
    <w:qFormat/>
    <w:uiPriority w:val="0"/>
    <w:rPr>
      <w:color w:val="AAAAAA"/>
      <w:shd w:val="clear" w:fill="F7F7F7"/>
    </w:rPr>
  </w:style>
  <w:style w:type="character" w:customStyle="1" w:styleId="159">
    <w:name w:val="auto-pass-node"/>
    <w:basedOn w:val="40"/>
    <w:qFormat/>
    <w:uiPriority w:val="0"/>
    <w:rPr>
      <w:bdr w:val="single" w:color="DC4446" w:sz="6" w:space="0"/>
      <w:shd w:val="clear" w:fill="A9E2FF"/>
    </w:rPr>
  </w:style>
  <w:style w:type="character" w:customStyle="1" w:styleId="160">
    <w:name w:val="ant-tree-iconele"/>
    <w:basedOn w:val="40"/>
    <w:qFormat/>
    <w:uiPriority w:val="0"/>
  </w:style>
  <w:style w:type="character" w:customStyle="1" w:styleId="161">
    <w:name w:val="wea-thumbnails-doc-content-subtitle"/>
    <w:basedOn w:val="40"/>
    <w:qFormat/>
    <w:uiPriority w:val="0"/>
    <w:rPr>
      <w:color w:val="9A9A9A"/>
    </w:rPr>
  </w:style>
  <w:style w:type="character" w:customStyle="1" w:styleId="162">
    <w:name w:val="ant-select-tree-switcher"/>
    <w:basedOn w:val="40"/>
    <w:qFormat/>
    <w:uiPriority w:val="0"/>
  </w:style>
  <w:style w:type="character" w:customStyle="1" w:styleId="163">
    <w:name w:val="ant-table-row-expand-icon3"/>
    <w:basedOn w:val="40"/>
    <w:qFormat/>
    <w:uiPriority w:val="0"/>
    <w:rPr>
      <w:vanish/>
    </w:rPr>
  </w:style>
  <w:style w:type="character" w:customStyle="1" w:styleId="164">
    <w:name w:val="passed-node"/>
    <w:basedOn w:val="40"/>
    <w:qFormat/>
    <w:uiPriority w:val="0"/>
    <w:rPr>
      <w:bdr w:val="single" w:color="49A8D4" w:sz="6" w:space="0"/>
      <w:shd w:val="clear" w:fill="A9E3FF"/>
    </w:rPr>
  </w:style>
  <w:style w:type="character" w:customStyle="1" w:styleId="165">
    <w:name w:val="current-node"/>
    <w:basedOn w:val="40"/>
    <w:qFormat/>
    <w:uiPriority w:val="0"/>
    <w:rPr>
      <w:bdr w:val="single" w:color="F5B87B" w:sz="6" w:space="0"/>
      <w:shd w:val="clear" w:fill="FFE8CC"/>
    </w:rPr>
  </w:style>
  <w:style w:type="character" w:customStyle="1" w:styleId="166">
    <w:name w:val="tmpztreemove_arrow"/>
    <w:basedOn w:val="40"/>
    <w:qFormat/>
    <w:uiPriority w:val="0"/>
  </w:style>
  <w:style w:type="character" w:customStyle="1" w:styleId="167">
    <w:name w:val="ant-tree-switcher10"/>
    <w:basedOn w:val="40"/>
    <w:qFormat/>
    <w:uiPriority w:val="0"/>
  </w:style>
  <w:style w:type="character" w:customStyle="1" w:styleId="168">
    <w:name w:val="ant-table-row-expand-icon"/>
    <w:basedOn w:val="40"/>
    <w:qFormat/>
    <w:uiPriority w:val="0"/>
    <w:rPr>
      <w:vanish/>
    </w:rPr>
  </w:style>
  <w:style w:type="character" w:customStyle="1" w:styleId="169">
    <w:name w:val="ant-select-tree-checkbox2"/>
    <w:basedOn w:val="40"/>
    <w:qFormat/>
    <w:uiPriority w:val="0"/>
  </w:style>
  <w:style w:type="character" w:customStyle="1" w:styleId="170">
    <w:name w:val="disabled"/>
    <w:basedOn w:val="40"/>
    <w:qFormat/>
    <w:uiPriority w:val="0"/>
    <w:rPr>
      <w:color w:val="AAAAAA"/>
      <w:shd w:val="clear" w:fill="F7F7F7"/>
    </w:rPr>
  </w:style>
  <w:style w:type="character" w:customStyle="1" w:styleId="171">
    <w:name w:val="ant-tree-checkbox7"/>
    <w:basedOn w:val="40"/>
    <w:qFormat/>
    <w:uiPriority w:val="0"/>
  </w:style>
  <w:style w:type="character" w:customStyle="1" w:styleId="172">
    <w:name w:val="ant-table-row-expand-icon4"/>
    <w:basedOn w:val="40"/>
    <w:qFormat/>
    <w:uiPriority w:val="0"/>
    <w:rPr>
      <w:vanish/>
    </w:rPr>
  </w:style>
  <w:style w:type="character" w:customStyle="1" w:styleId="173">
    <w:name w:val="hover30"/>
    <w:basedOn w:val="40"/>
    <w:qFormat/>
    <w:uiPriority w:val="0"/>
    <w:rPr>
      <w:color w:val="009DFF"/>
    </w:rPr>
  </w:style>
  <w:style w:type="character" w:customStyle="1" w:styleId="174">
    <w:name w:val="hover31"/>
    <w:basedOn w:val="40"/>
    <w:qFormat/>
    <w:uiPriority w:val="0"/>
    <w:rPr>
      <w:color w:val="009DFF"/>
    </w:rPr>
  </w:style>
  <w:style w:type="character" w:customStyle="1" w:styleId="175">
    <w:name w:val="ant-tree-checkbox"/>
    <w:basedOn w:val="40"/>
    <w:qFormat/>
    <w:uiPriority w:val="0"/>
  </w:style>
  <w:style w:type="character" w:customStyle="1" w:styleId="176">
    <w:name w:val="ant-tree-switcher"/>
    <w:basedOn w:val="40"/>
    <w:qFormat/>
    <w:uiPriority w:val="0"/>
  </w:style>
  <w:style w:type="character" w:customStyle="1" w:styleId="177">
    <w:name w:val="wea-dropdown-triangle2"/>
    <w:basedOn w:val="40"/>
    <w:qFormat/>
    <w:uiPriority w:val="0"/>
  </w:style>
  <w:style w:type="character" w:customStyle="1" w:styleId="178">
    <w:name w:val="ant-tree-switcher9"/>
    <w:basedOn w:val="40"/>
    <w:qFormat/>
    <w:uiPriority w:val="0"/>
  </w:style>
  <w:style w:type="character" w:customStyle="1" w:styleId="179">
    <w:name w:val="hover32"/>
    <w:basedOn w:val="40"/>
    <w:qFormat/>
    <w:uiPriority w:val="0"/>
    <w:rPr>
      <w:color w:val="009DFF"/>
    </w:rPr>
  </w:style>
  <w:style w:type="character" w:customStyle="1" w:styleId="180">
    <w:name w:val="ant-tree-switcher7"/>
    <w:basedOn w:val="40"/>
    <w:qFormat/>
    <w:uiPriority w:val="0"/>
  </w:style>
  <w:style w:type="character" w:customStyle="1" w:styleId="181">
    <w:name w:val="hover25"/>
    <w:basedOn w:val="40"/>
    <w:qFormat/>
    <w:uiPriority w:val="0"/>
    <w:rPr>
      <w:color w:val="009DFF"/>
    </w:rPr>
  </w:style>
  <w:style w:type="character" w:customStyle="1" w:styleId="182">
    <w:name w:val="hover26"/>
    <w:basedOn w:val="40"/>
    <w:qFormat/>
    <w:uiPriority w:val="0"/>
    <w:rPr>
      <w:color w:val="009DFF"/>
    </w:rPr>
  </w:style>
  <w:style w:type="paragraph" w:customStyle="1" w:styleId="183">
    <w:name w:val="Table Text"/>
    <w:basedOn w:val="1"/>
    <w:semiHidden/>
    <w:qFormat/>
    <w:uiPriority w:val="0"/>
    <w:rPr>
      <w:rFonts w:ascii="宋体" w:hAnsi="宋体" w:eastAsia="宋体" w:cs="宋体"/>
      <w:sz w:val="24"/>
      <w:szCs w:val="24"/>
      <w:lang w:val="en-US" w:eastAsia="en-US" w:bidi="ar-SA"/>
    </w:rPr>
  </w:style>
  <w:style w:type="paragraph" w:styleId="184">
    <w:name w:val="No Spacing"/>
    <w:qFormat/>
    <w:uiPriority w:val="1"/>
    <w:rPr>
      <w:rFonts w:ascii="等线" w:hAnsi="等线" w:eastAsia="等线" w:cs="Times New Roman"/>
      <w:sz w:val="21"/>
      <w:szCs w:val="21"/>
      <w:lang w:val="en-US" w:eastAsia="zh-CN" w:bidi="ar-SA"/>
    </w:rPr>
  </w:style>
  <w:style w:type="character" w:customStyle="1" w:styleId="185">
    <w:name w:val="Classification"/>
    <w:qFormat/>
    <w:uiPriority w:val="99"/>
    <w:rPr>
      <w:rFonts w:ascii="Calibri" w:hAnsi="Calibri" w:eastAsia="宋体" w:cs="Cordia New"/>
      <w:b/>
      <w:bCs/>
      <w:caps/>
      <w:color w:val="000000"/>
      <w:spacing w:val="20"/>
      <w:sz w:val="24"/>
      <w:szCs w:val="24"/>
    </w:rPr>
  </w:style>
  <w:style w:type="paragraph" w:customStyle="1" w:styleId="186">
    <w:name w:val="WPSOffice手动目录 2"/>
    <w:qFormat/>
    <w:uiPriority w:val="0"/>
    <w:pPr>
      <w:ind w:leftChars="200"/>
    </w:pPr>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7" Type="http://schemas.openxmlformats.org/officeDocument/2006/relationships/fontTable" Target="fontTable.xml"/><Relationship Id="rId56" Type="http://schemas.openxmlformats.org/officeDocument/2006/relationships/customXml" Target="../customXml/item2.xml"/><Relationship Id="rId55" Type="http://schemas.openxmlformats.org/officeDocument/2006/relationships/numbering" Target="numbering.xml"/><Relationship Id="rId54" Type="http://schemas.openxmlformats.org/officeDocument/2006/relationships/customXml" Target="../customXml/item1.xml"/><Relationship Id="rId53" Type="http://schemas.openxmlformats.org/officeDocument/2006/relationships/image" Target="media/image14.png"/><Relationship Id="rId52" Type="http://schemas.openxmlformats.org/officeDocument/2006/relationships/image" Target="media/image13.png"/><Relationship Id="rId51" Type="http://schemas.openxmlformats.org/officeDocument/2006/relationships/image" Target="media/image12.png"/><Relationship Id="rId50" Type="http://schemas.openxmlformats.org/officeDocument/2006/relationships/image" Target="media/image11.png"/><Relationship Id="rId5" Type="http://schemas.openxmlformats.org/officeDocument/2006/relationships/header" Target="header1.xml"/><Relationship Id="rId49" Type="http://schemas.openxmlformats.org/officeDocument/2006/relationships/image" Target="media/image10.png"/><Relationship Id="rId48" Type="http://schemas.openxmlformats.org/officeDocument/2006/relationships/image" Target="media/image9.png"/><Relationship Id="rId47" Type="http://schemas.openxmlformats.org/officeDocument/2006/relationships/image" Target="media/image8.png"/><Relationship Id="rId46" Type="http://schemas.openxmlformats.org/officeDocument/2006/relationships/image" Target="media/image7.png"/><Relationship Id="rId45" Type="http://schemas.openxmlformats.org/officeDocument/2006/relationships/image" Target="media/image6.png"/><Relationship Id="rId44" Type="http://schemas.openxmlformats.org/officeDocument/2006/relationships/image" Target="media/image5.png"/><Relationship Id="rId43" Type="http://schemas.openxmlformats.org/officeDocument/2006/relationships/image" Target="media/image4.png"/><Relationship Id="rId42" Type="http://schemas.openxmlformats.org/officeDocument/2006/relationships/image" Target="media/image3.png"/><Relationship Id="rId41" Type="http://schemas.openxmlformats.org/officeDocument/2006/relationships/image" Target="media/image2.png"/><Relationship Id="rId40" Type="http://schemas.openxmlformats.org/officeDocument/2006/relationships/image" Target="media/image1.emf"/><Relationship Id="rId4" Type="http://schemas.openxmlformats.org/officeDocument/2006/relationships/footer" Target="footer2.xml"/><Relationship Id="rId39" Type="http://schemas.openxmlformats.org/officeDocument/2006/relationships/oleObject" Target="embeddings/oleObject1.bin"/><Relationship Id="rId38" Type="http://schemas.openxmlformats.org/officeDocument/2006/relationships/theme" Target="theme/theme1.xml"/><Relationship Id="rId37" Type="http://schemas.openxmlformats.org/officeDocument/2006/relationships/footer" Target="footer27.xml"/><Relationship Id="rId36" Type="http://schemas.openxmlformats.org/officeDocument/2006/relationships/footer" Target="footer26.xml"/><Relationship Id="rId35" Type="http://schemas.openxmlformats.org/officeDocument/2006/relationships/header" Target="header8.xml"/><Relationship Id="rId34" Type="http://schemas.openxmlformats.org/officeDocument/2006/relationships/header" Target="header7.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header" Target="header6.xml"/><Relationship Id="rId30" Type="http://schemas.openxmlformats.org/officeDocument/2006/relationships/header" Target="header5.xml"/><Relationship Id="rId3" Type="http://schemas.openxmlformats.org/officeDocument/2006/relationships/footer" Target="footer1.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D9F31A-5289-4A72-A8F8-0A4209FE792D}">
  <ds:schemaRefs/>
</ds:datastoreItem>
</file>

<file path=docProps/app.xml><?xml version="1.0" encoding="utf-8"?>
<Properties xmlns="http://schemas.openxmlformats.org/officeDocument/2006/extended-properties" xmlns:vt="http://schemas.openxmlformats.org/officeDocument/2006/docPropsVTypes">
  <Template>Normal.dotm</Template>
  <Pages>93</Pages>
  <Words>6125</Words>
  <Characters>6590</Characters>
  <Lines>364</Lines>
  <Paragraphs>102</Paragraphs>
  <TotalTime>15</TotalTime>
  <ScaleCrop>false</ScaleCrop>
  <LinksUpToDate>false</LinksUpToDate>
  <CharactersWithSpaces>6731</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2025-04-18T06:33:00Z</dcterms:created>
  <dc:creator>刘剑</dc:creator>
  <cp:lastModifiedBy>Lenovo</cp:lastModifiedBy>
  <dcterms:modified xsi:type="dcterms:W3CDTF">2025-12-18T07:01:41Z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54F09B1D37084FBB90D499E0EB2DA5FB_13</vt:lpwstr>
  </property>
  <property fmtid="{D5CDD505-2E9C-101B-9397-08002B2CF9AE}" pid="4" name="KSOTemplateDocerSaveRecord">
    <vt:lpwstr>eyJoZGlkIjoiN2ZiZjhjZjUxYjg2N2Y1ZjY0NTc5ZGMxYTcwNjRmNWYiLCJ1c2VySWQiOiIzMDg0MzUwNTAifQ==</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