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highlight w:val="none"/>
        </w:rPr>
      </w:pPr>
      <w:bookmarkStart w:id="0" w:name="OLE_LINK31"/>
      <w:bookmarkStart w:id="1" w:name="OLE_LINK30"/>
    </w:p>
    <w:p>
      <w:pPr>
        <w:spacing w:line="276" w:lineRule="auto"/>
        <w:jc w:val="center"/>
        <w:rPr>
          <w:rFonts w:ascii="Calibri" w:hAnsi="Calibri" w:eastAsia="宋体" w:cs="Times New Roman"/>
          <w:color w:val="000000"/>
          <w:sz w:val="24"/>
          <w:szCs w:val="24"/>
          <w:highlight w:val="none"/>
        </w:rPr>
      </w:pPr>
      <w:r>
        <w:rPr>
          <w:rFonts w:hint="eastAsia" w:ascii="Calibri" w:hAnsi="宋体" w:eastAsia="宋体" w:cs="Times New Roman"/>
          <w:b/>
          <w:bCs/>
          <w:color w:val="000000"/>
          <w:spacing w:val="-8"/>
          <w:sz w:val="44"/>
          <w:szCs w:val="40"/>
          <w:highlight w:val="none"/>
        </w:rPr>
        <w:t>新能源产品试验检测中心（二期）试验室环保设备设施项目-材料试验室招标公告</w:t>
      </w:r>
    </w:p>
    <w:p>
      <w:pPr>
        <w:pStyle w:val="19"/>
        <w:rPr>
          <w:highlight w:val="none"/>
        </w:rPr>
      </w:pPr>
    </w:p>
    <w:p>
      <w:pPr>
        <w:pStyle w:val="19"/>
        <w:rPr>
          <w:highlight w:val="none"/>
        </w:rPr>
      </w:pPr>
    </w:p>
    <w:p>
      <w:pPr>
        <w:pStyle w:val="19"/>
        <w:rPr>
          <w:highlight w:val="none"/>
        </w:rPr>
      </w:pPr>
    </w:p>
    <w:p>
      <w:pPr>
        <w:pStyle w:val="19"/>
        <w:rPr>
          <w:highlight w:val="none"/>
        </w:rPr>
      </w:pPr>
    </w:p>
    <w:p>
      <w:pPr>
        <w:pStyle w:val="19"/>
        <w:rPr>
          <w:highlight w:val="none"/>
        </w:rPr>
      </w:pPr>
    </w:p>
    <w:p>
      <w:pPr>
        <w:pStyle w:val="19"/>
        <w:rPr>
          <w:highlight w:val="none"/>
        </w:rPr>
      </w:pPr>
    </w:p>
    <w:p>
      <w:pPr>
        <w:jc w:val="right"/>
        <w:rPr>
          <w:rFonts w:ascii="Calibri" w:hAnsi="Calibri" w:eastAsia="宋体" w:cs="Times New Roman"/>
          <w:color w:val="000000"/>
          <w:sz w:val="28"/>
          <w:szCs w:val="28"/>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pPr>
        <w:jc w:val="center"/>
        <w:rPr>
          <w:rFonts w:ascii="黑体" w:hAnsi="宋体" w:eastAsia="黑体" w:cs="Times New Roman"/>
          <w:color w:val="000000"/>
          <w:sz w:val="72"/>
          <w:szCs w:val="72"/>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ascii="黑体" w:hAnsi="宋体" w:eastAsia="黑体" w:cs="Times New Roman"/>
          <w:color w:val="000000"/>
          <w:sz w:val="72"/>
          <w:szCs w:val="72"/>
          <w:highlight w:val="none"/>
        </w:rPr>
      </w:pPr>
    </w:p>
    <w:p>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pPr>
        <w:pStyle w:val="19"/>
        <w:rPr>
          <w:b/>
          <w:bCs/>
          <w:highlight w:val="none"/>
        </w:rPr>
      </w:pPr>
    </w:p>
    <w:p>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w:t>
      </w:r>
      <w:r>
        <w:rPr>
          <w:rFonts w:hint="eastAsia" w:ascii="宋体" w:hAnsi="宋体" w:eastAsia="宋体" w:cs="Times New Roman"/>
          <w:color w:val="000000"/>
          <w:sz w:val="28"/>
          <w:szCs w:val="28"/>
          <w:highlight w:val="none"/>
          <w:lang w:eastAsia="zh-CN"/>
        </w:rPr>
        <w:t>中国重汽集团济南动力有限公司</w:t>
      </w:r>
    </w:p>
    <w:p>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12</w:t>
      </w:r>
      <w:r>
        <w:rPr>
          <w:rFonts w:hint="eastAsia" w:ascii="Calibri" w:hAnsi="Calibri" w:eastAsia="宋体" w:cs="Times New Roman"/>
          <w:color w:val="000000"/>
          <w:sz w:val="28"/>
          <w:szCs w:val="28"/>
          <w:highlight w:val="none"/>
        </w:rPr>
        <w:t>月</w:t>
      </w:r>
    </w:p>
    <w:p>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pPr>
            <w:pStyle w:val="26"/>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pPr>
            <w:pStyle w:val="26"/>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pPr>
            <w:pStyle w:val="26"/>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pPr>
            <w:pStyle w:val="26"/>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pPr>
            <w:pStyle w:val="26"/>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pPr>
            <w:pStyle w:val="26"/>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pPr>
            <w:pStyle w:val="19"/>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pPr>
        <w:pStyle w:val="19"/>
        <w:numPr>
          <w:ilvl w:val="0"/>
          <w:numId w:val="2"/>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pPr>
        <w:pStyle w:val="19"/>
        <w:jc w:val="center"/>
        <w:rPr>
          <w:rFonts w:ascii="Calibri" w:hAnsi="Calibri" w:eastAsia="宋体" w:cs="Times New Roman"/>
          <w:b/>
          <w:bCs/>
          <w:kern w:val="44"/>
          <w:sz w:val="36"/>
          <w:szCs w:val="44"/>
          <w:highlight w:val="none"/>
        </w:rPr>
      </w:pPr>
    </w:p>
    <w:p>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6"/>
                <w:rFonts w:ascii="宋体" w:hAnsi="宋体" w:eastAsia="宋体" w:cs="宋体"/>
                <w:b/>
                <w:sz w:val="28"/>
                <w:szCs w:val="28"/>
                <w:highlight w:val="none"/>
              </w:rPr>
            </w:pPr>
            <w:bookmarkStart w:id="3" w:name="_Toc346372875"/>
            <w:r>
              <w:rPr>
                <w:rStyle w:val="136"/>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highlight w:val="none"/>
              </w:rPr>
            </w:pPr>
            <w:r>
              <w:rPr>
                <w:rStyle w:val="136"/>
                <w:rFonts w:hint="eastAsia" w:ascii="宋体" w:hAnsi="宋体" w:eastAsia="宋体" w:cs="宋体"/>
                <w:b/>
                <w:sz w:val="28"/>
                <w:szCs w:val="28"/>
                <w:highlight w:val="none"/>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项目名称：新能源产品试验检测中心（二期）试验室环保设备设施项目-材料试验室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FSCZB2025120158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招标内容：新能源产品试验检测中心（二期）试验室环保设备设施项目-材料试验室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eastAsia="zh-CN"/>
              </w:rPr>
            </w:pPr>
            <w:r>
              <w:rPr>
                <w:rFonts w:hint="eastAsia" w:ascii="宋体" w:hAnsi="宋体" w:eastAsia="宋体" w:cs="宋体"/>
                <w:b/>
                <w:snapToGrid w:val="0"/>
                <w:kern w:val="0"/>
                <w:sz w:val="24"/>
                <w:szCs w:val="24"/>
                <w:highlight w:val="none"/>
                <w:lang w:val="en-US" w:eastAsia="zh-CN"/>
              </w:rPr>
              <w:t>e采通操作及商务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李岳</w:t>
            </w:r>
          </w:p>
          <w:p>
            <w:pPr>
              <w:pStyle w:val="19"/>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1786</w:t>
            </w:r>
            <w:r>
              <w:rPr>
                <w:rFonts w:hint="eastAsia" w:hAnsi="宋体" w:eastAsia="宋体" w:cs="宋体"/>
                <w:bCs/>
                <w:snapToGrid w:val="0"/>
                <w:kern w:val="0"/>
                <w:sz w:val="24"/>
                <w:szCs w:val="24"/>
                <w:highlight w:val="none"/>
                <w:lang w:val="en-US" w:eastAsia="zh-CN"/>
              </w:rPr>
              <w:t>0529512</w:t>
            </w:r>
          </w:p>
          <w:p>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t>liyue1</w:t>
            </w:r>
            <w:r>
              <w:rPr>
                <w:rFonts w:hint="eastAsia" w:ascii="宋体" w:hAnsi="宋体" w:eastAsia="宋体" w:cs="宋体"/>
                <w:bCs/>
                <w:snapToGrid w:val="0"/>
                <w:kern w:val="0"/>
                <w:sz w:val="24"/>
                <w:szCs w:val="24"/>
                <w:highlight w:val="none"/>
              </w:rPr>
              <w:t>@sinotruk.com</w:t>
            </w:r>
          </w:p>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王太镇、姚树寅</w:t>
            </w:r>
            <w:r>
              <w:rPr>
                <w:rFonts w:hint="eastAsia" w:ascii="宋体" w:hAnsi="宋体" w:eastAsia="宋体" w:cs="宋体"/>
                <w:b/>
                <w:snapToGrid w:val="0"/>
                <w:kern w:val="0"/>
                <w:sz w:val="24"/>
                <w:szCs w:val="24"/>
                <w:highlight w:val="none"/>
              </w:rPr>
              <w:t xml:space="preserve">    </w:t>
            </w:r>
          </w:p>
          <w:p>
            <w:pPr>
              <w:pStyle w:val="19"/>
              <w:ind w:firstLine="482" w:firstLineChars="200"/>
              <w:rPr>
                <w:rFonts w:hint="eastAsia" w:eastAsia="宋体"/>
                <w:highlight w:val="none"/>
                <w:lang w:eastAsia="zh-CN"/>
              </w:rPr>
            </w:pPr>
            <w:r>
              <w:rPr>
                <w:rFonts w:hint="eastAsia" w:hAnsi="宋体" w:eastAsia="宋体" w:cs="宋体"/>
                <w:b/>
                <w:snapToGrid w:val="0"/>
                <w:kern w:val="0"/>
                <w:sz w:val="24"/>
                <w:szCs w:val="24"/>
                <w:highlight w:val="none"/>
              </w:rPr>
              <w:t>电话：</w:t>
            </w:r>
            <w:r>
              <w:rPr>
                <w:rFonts w:hint="eastAsia" w:ascii="宋体" w:hAnsi="宋体" w:eastAsia="宋体" w:cs="宋体"/>
                <w:b/>
                <w:snapToGrid w:val="0"/>
                <w:kern w:val="0"/>
                <w:sz w:val="24"/>
                <w:szCs w:val="24"/>
                <w:highlight w:val="none"/>
              </w:rPr>
              <w:t>17852032320</w:t>
            </w:r>
            <w:r>
              <w:rPr>
                <w:rFonts w:hint="eastAsia" w:hAnsi="宋体" w:eastAsia="宋体" w:cs="宋体"/>
                <w:b/>
                <w:snapToGrid w:val="0"/>
                <w:kern w:val="0"/>
                <w:sz w:val="24"/>
                <w:szCs w:val="24"/>
                <w:highlight w:val="none"/>
                <w:lang w:eastAsia="zh-CN"/>
              </w:rPr>
              <w:t>、18753155919</w:t>
            </w:r>
          </w:p>
          <w:p>
            <w:pPr>
              <w:ind w:firstLine="482" w:firstLineChars="200"/>
              <w:rPr>
                <w:rFonts w:hint="eastAsia" w:ascii="宋体" w:hAnsi="宋体" w:eastAsia="宋体" w:cs="宋体"/>
                <w:bCs/>
                <w:snapToGrid w:val="0"/>
                <w:kern w:val="0"/>
                <w:sz w:val="24"/>
                <w:szCs w:val="24"/>
                <w:highlight w:val="none"/>
                <w:lang w:eastAsia="zh-CN"/>
              </w:rPr>
            </w:pPr>
            <w:r>
              <w:rPr>
                <w:rFonts w:hint="eastAsia" w:ascii="宋体" w:hAnsi="宋体" w:eastAsia="宋体" w:cs="宋体"/>
                <w:b/>
                <w:snapToGrid w:val="0"/>
                <w:kern w:val="0"/>
                <w:sz w:val="24"/>
                <w:szCs w:val="24"/>
                <w:highlight w:val="none"/>
              </w:rPr>
              <w:t>邮箱：wangtaizhen@sinotruk.com</w:t>
            </w:r>
            <w:r>
              <w:rPr>
                <w:rFonts w:hint="eastAsia" w:ascii="宋体" w:hAnsi="宋体" w:eastAsia="宋体" w:cs="宋体"/>
                <w:b/>
                <w:snapToGrid w:val="0"/>
                <w:kern w:val="0"/>
                <w:sz w:val="24"/>
                <w:szCs w:val="24"/>
                <w:highlight w:val="none"/>
                <w:lang w:eastAsia="zh-CN"/>
              </w:rPr>
              <w:t>、yaoshuyin@sinotruk.com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pPr>
              <w:pStyle w:val="19"/>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120.94</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投标人条件：</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拟投标人必须是在中华人民共和国境内注册的独立法人机构，具有独立承担民事责任能力；注册资金不少于300万人民币（或等值其他货币）；公司成立五年及以上（以营业执照成立日期到开标当日满五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2.拟投标人应提供营业执照副本原件和扫描件（需盖章）；</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3.拟投标人应提供法定代表人资格证明文件；</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4.拟投标人在国家市场监督管理总局的《国家企业信用信息公示系统》等信息平台中，无行政处罚及失信记录等信息；</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5.拟投标人不存在严重违规或被列入招标人“黑名单”的声明；</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拟投标人应提供2022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7.拟投标人近3年（2022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8.拟投标人近三年内在经营活动中无与本项目有关的违法及重大违规情况；</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9.投标人须认可招标人的工作指令，包括节假日能正常开展工作的要求；</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10.投标人最近半年纳税正常；投标人信用证明材料（征信报告）未显示异常；投标人没有被我公司列入黑名单；</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11.投标方的直接或间接股东、法定代表人、董事、监事、高管非重汽员工及其亲属；</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12.如为代理商投标，需获得生产厂家正式授权，提供授权书原件，保证提供原厂售后服务并提供原厂售后服务承诺书原件（包括所代理品牌针对项目的唯一授权书）。</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13.本项目不接受联合体投标，拟投标人必须是最终投标单位、签订合同单位，不得以任何形式分包或转包给其他单位；</w:t>
            </w:r>
          </w:p>
          <w:p>
            <w:pPr>
              <w:pStyle w:val="19"/>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18</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中国重汽官网等公开媒体公布。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23</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领取答疑、澄清和修改文件时间：2025年</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日17:00前；</w:t>
            </w:r>
          </w:p>
          <w:p>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2025年</w:t>
            </w:r>
            <w:r>
              <w:rPr>
                <w:rFonts w:hint="eastAsia" w:eastAsia="宋体" w:cs="宋体"/>
                <w:highlight w:val="none"/>
                <w:lang w:val="en-US" w:eastAsia="zh-CN"/>
              </w:rPr>
              <w:t>12</w:t>
            </w:r>
            <w:r>
              <w:rPr>
                <w:rFonts w:hint="eastAsia" w:eastAsia="宋体" w:cs="宋体"/>
                <w:highlight w:val="none"/>
              </w:rPr>
              <w:t>月</w:t>
            </w:r>
            <w:r>
              <w:rPr>
                <w:rFonts w:hint="eastAsia" w:eastAsia="宋体" w:cs="宋体"/>
                <w:highlight w:val="none"/>
                <w:lang w:val="en-US" w:eastAsia="zh-CN"/>
              </w:rPr>
              <w:t>23</w:t>
            </w:r>
            <w:r>
              <w:rPr>
                <w:rFonts w:hint="eastAsia" w:eastAsia="宋体" w:cs="宋体"/>
                <w:highlight w:val="none"/>
              </w:rPr>
              <w:t>日17时00分00秒</w:t>
            </w:r>
          </w:p>
          <w:p>
            <w:pPr>
              <w:pStyle w:val="119"/>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pPr>
              <w:ind w:firstLine="480" w:firstLineChars="200"/>
              <w:rPr>
                <w:rFonts w:hAnsi="宋体" w:eastAsia="宋体" w:cs="Times New Roman"/>
                <w:color w:val="000000"/>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副本一份，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pPr>
              <w:pStyle w:val="19"/>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12</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30</w:t>
            </w:r>
            <w:r>
              <w:rPr>
                <w:rFonts w:hint="eastAsia" w:hAnsi="宋体" w:eastAsia="宋体" w:cs="宋体"/>
                <w:sz w:val="24"/>
                <w:szCs w:val="24"/>
                <w:highlight w:val="none"/>
              </w:rPr>
              <w:t>日</w:t>
            </w:r>
            <w:r>
              <w:rPr>
                <w:rFonts w:hint="eastAsia" w:hAnsi="宋体" w:eastAsia="宋体" w:cs="宋体"/>
                <w:sz w:val="24"/>
                <w:szCs w:val="24"/>
                <w:highlight w:val="none"/>
                <w:lang w:val="en-US" w:eastAsia="zh-CN"/>
              </w:rPr>
              <w:t>下</w:t>
            </w:r>
            <w:r>
              <w:rPr>
                <w:rFonts w:hint="eastAsia" w:hAnsi="宋体" w:eastAsia="宋体" w:cs="宋体"/>
                <w:kern w:val="0"/>
                <w:sz w:val="24"/>
                <w:szCs w:val="24"/>
                <w:highlight w:val="none"/>
              </w:rPr>
              <w:t>午</w:t>
            </w:r>
            <w:r>
              <w:rPr>
                <w:rFonts w:hint="eastAsia" w:hAnsi="宋体" w:eastAsia="宋体" w:cs="宋体"/>
                <w:kern w:val="0"/>
                <w:sz w:val="24"/>
                <w:szCs w:val="24"/>
                <w:highlight w:val="none"/>
                <w:lang w:val="en-US" w:eastAsia="zh-CN"/>
              </w:rPr>
              <w:t>14</w:t>
            </w:r>
            <w:r>
              <w:rPr>
                <w:rFonts w:hint="eastAsia" w:hAnsi="宋体" w:eastAsia="宋体" w:cs="宋体"/>
                <w:sz w:val="24"/>
                <w:szCs w:val="24"/>
                <w:highlight w:val="none"/>
              </w:rPr>
              <w:t>:00:00（北京时间）</w:t>
            </w:r>
          </w:p>
          <w:p>
            <w:pPr>
              <w:pStyle w:val="19"/>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w:t>
            </w:r>
            <w:r>
              <w:rPr>
                <w:rFonts w:hint="eastAsia" w:ascii="宋体" w:hAnsi="宋体" w:eastAsia="宋体" w:cs="宋体"/>
                <w:b/>
                <w:bCs/>
                <w:color w:val="000000"/>
                <w:kern w:val="0"/>
                <w:sz w:val="24"/>
                <w:szCs w:val="24"/>
                <w:highlight w:val="none"/>
                <w:lang w:eastAsia="zh-CN"/>
              </w:rPr>
              <w:t>中国重汽集团济南动力有限公司</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xml:space="preserve">单位名称：中国重汽集团济南动力有限公司                   </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xml:space="preserve">收款账号：37001616508050150300                         </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xml:space="preserve">开户行名称：中国建设银行股份有限公司济南天桥支行                          </w:t>
            </w:r>
          </w:p>
          <w:p>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开户行联号：105451000362</w:t>
            </w:r>
          </w:p>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转账附言：投标保证金</w:t>
            </w:r>
            <w:r>
              <w:rPr>
                <w:rFonts w:hint="eastAsia" w:eastAsia="宋体" w:cs="Times New Roman"/>
                <w:sz w:val="24"/>
                <w:szCs w:val="28"/>
                <w:highlight w:val="none"/>
                <w:lang w:val="en-US" w:eastAsia="zh-CN"/>
              </w:rPr>
              <w:t>+检测中心</w:t>
            </w:r>
            <w:r>
              <w:rPr>
                <w:rFonts w:hint="eastAsia" w:ascii="宋体" w:hAnsi="宋体" w:eastAsia="宋体" w:cs="宋体"/>
                <w:b/>
                <w:bCs/>
                <w:sz w:val="24"/>
                <w:szCs w:val="24"/>
                <w:highlight w:val="none"/>
              </w:rPr>
              <w:t>环保设备设施项目</w:t>
            </w:r>
            <w:r>
              <w:rPr>
                <w:rFonts w:hint="eastAsia" w:ascii="宋体" w:hAnsi="宋体" w:eastAsia="宋体" w:cs="宋体"/>
                <w:b/>
                <w:bCs/>
                <w:sz w:val="24"/>
                <w:szCs w:val="24"/>
                <w:highlight w:val="none"/>
                <w:lang w:val="en-US" w:eastAsia="zh-CN"/>
              </w:rPr>
              <w:t>+</w:t>
            </w:r>
            <w:r>
              <w:rPr>
                <w:rFonts w:hint="eastAsia" w:eastAsia="宋体" w:cs="Times New Roman"/>
                <w:sz w:val="24"/>
                <w:szCs w:val="28"/>
                <w:highlight w:val="none"/>
              </w:rPr>
              <w:t>公司</w:t>
            </w:r>
            <w:r>
              <w:rPr>
                <w:rFonts w:hint="eastAsia" w:eastAsia="宋体" w:cs="Times New Roman"/>
                <w:sz w:val="24"/>
                <w:szCs w:val="28"/>
                <w:highlight w:val="none"/>
                <w:lang w:val="en-US" w:eastAsia="zh-CN"/>
              </w:rPr>
              <w:t>简</w:t>
            </w:r>
            <w:r>
              <w:rPr>
                <w:rFonts w:hint="eastAsia" w:eastAsia="宋体" w:cs="Times New Roman"/>
                <w:sz w:val="24"/>
                <w:szCs w:val="28"/>
                <w:highlight w:val="none"/>
              </w:rPr>
              <w:t>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2025年</w:t>
            </w:r>
            <w:r>
              <w:rPr>
                <w:rFonts w:hint="eastAsia" w:ascii="宋体" w:hAnsi="宋体" w:cs="宋体"/>
                <w:sz w:val="24"/>
                <w:szCs w:val="24"/>
                <w:highlight w:val="none"/>
                <w:lang w:val="en-US" w:eastAsia="zh-CN"/>
              </w:rPr>
              <w:t>12</w:t>
            </w:r>
            <w:r>
              <w:rPr>
                <w:rFonts w:hint="eastAsia" w:ascii="宋体" w:hAnsi="宋体" w:cs="宋体"/>
                <w:sz w:val="24"/>
                <w:szCs w:val="24"/>
                <w:highlight w:val="none"/>
              </w:rPr>
              <w:t>月</w:t>
            </w:r>
            <w:r>
              <w:rPr>
                <w:rFonts w:hint="eastAsia" w:ascii="宋体" w:hAnsi="宋体" w:cs="宋体"/>
                <w:sz w:val="24"/>
                <w:szCs w:val="24"/>
                <w:highlight w:val="none"/>
                <w:lang w:val="en-US" w:eastAsia="zh-CN"/>
              </w:rPr>
              <w:t>29</w:t>
            </w:r>
            <w:r>
              <w:rPr>
                <w:rFonts w:hint="eastAsia" w:ascii="宋体" w:hAnsi="宋体" w:cs="宋体"/>
                <w:sz w:val="24"/>
                <w:szCs w:val="24"/>
                <w:highlight w:val="none"/>
              </w:rPr>
              <w:t>日</w:t>
            </w:r>
            <w:r>
              <w:rPr>
                <w:rFonts w:hint="eastAsia" w:ascii="宋体" w:hAnsi="宋体" w:cs="宋体"/>
                <w:sz w:val="24"/>
                <w:szCs w:val="24"/>
                <w:highlight w:val="none"/>
                <w:lang w:val="en-US" w:eastAsia="zh-CN"/>
              </w:rPr>
              <w:t>17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30</w:t>
            </w:r>
            <w:r>
              <w:rPr>
                <w:rFonts w:hint="eastAsia" w:ascii="宋体" w:hAnsi="宋体" w:cs="宋体"/>
                <w:sz w:val="24"/>
                <w:szCs w:val="24"/>
                <w:highlight w:val="none"/>
              </w:rPr>
              <w:t>日</w:t>
            </w:r>
            <w:r>
              <w:rPr>
                <w:rFonts w:hint="eastAsia" w:ascii="宋体" w:hAnsi="宋体" w:cs="宋体"/>
                <w:sz w:val="24"/>
                <w:szCs w:val="24"/>
                <w:highlight w:val="none"/>
                <w:lang w:val="en-US" w:eastAsia="zh-CN"/>
              </w:rPr>
              <w:t>14</w:t>
            </w:r>
            <w:r>
              <w:rPr>
                <w:rFonts w:hint="eastAsia" w:ascii="宋体" w:hAnsi="宋体" w:cs="宋体"/>
                <w:sz w:val="24"/>
                <w:szCs w:val="24"/>
                <w:highlight w:val="none"/>
              </w:rPr>
              <w:t>:00:00</w:t>
            </w:r>
            <w:r>
              <w:rPr>
                <w:rFonts w:hint="eastAsia" w:ascii="宋体" w:hAnsi="宋体" w:eastAsia="宋体" w:cs="宋体"/>
                <w:kern w:val="0"/>
                <w:sz w:val="24"/>
                <w:szCs w:val="24"/>
                <w:highlight w:val="none"/>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b w:val="0"/>
                <w:bCs w:val="0"/>
                <w:sz w:val="24"/>
                <w:szCs w:val="24"/>
                <w:highlight w:val="none"/>
                <w:lang w:val="en-US" w:eastAsia="zh-CN"/>
              </w:rPr>
              <w:t>济南市历城区华奥路777号重汽科技大厦3楼会议室，具体会议室</w:t>
            </w:r>
            <w:r>
              <w:rPr>
                <w:rFonts w:hint="eastAsia" w:ascii="宋体" w:hAnsi="宋体" w:eastAsia="宋体" w:cs="宋体"/>
                <w:sz w:val="24"/>
                <w:szCs w:val="24"/>
                <w:highlight w:val="none"/>
                <w:lang w:val="en-US" w:eastAsia="zh-CN"/>
              </w:rPr>
              <w:t>开标前通知</w:t>
            </w:r>
            <w:r>
              <w:rPr>
                <w:rFonts w:hint="eastAsia" w:ascii="宋体" w:hAnsi="宋体" w:eastAsia="宋体" w:cs="宋体"/>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评标方法：资质标审核→唱标→技术标评审→商务标评审。综合评标法，技术标30%，商务标70%。</w:t>
            </w:r>
            <w:r>
              <w:rPr>
                <w:rFonts w:hint="eastAsia" w:ascii="宋体" w:hAnsi="宋体" w:eastAsia="宋体" w:cs="宋体"/>
                <w:sz w:val="24"/>
                <w:szCs w:val="24"/>
                <w:highlight w:val="none"/>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pP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投标方应自</w:t>
            </w:r>
            <w:r>
              <w:rPr>
                <w:rFonts w:hint="eastAsia" w:ascii="宋体" w:hAnsi="宋体" w:eastAsia="宋体" w:cs="宋体"/>
                <w:sz w:val="24"/>
                <w:szCs w:val="24"/>
                <w:lang w:val="en-US" w:eastAsia="zh-CN"/>
              </w:rPr>
              <w:t>合同签定</w:t>
            </w:r>
            <w:r>
              <w:rPr>
                <w:rFonts w:hint="eastAsia" w:ascii="宋体" w:hAnsi="宋体" w:eastAsia="宋体" w:cs="宋体"/>
                <w:sz w:val="24"/>
                <w:szCs w:val="24"/>
              </w:rPr>
              <w:t>之日起，</w:t>
            </w:r>
            <w:r>
              <w:rPr>
                <w:rFonts w:hint="eastAsia" w:ascii="宋体" w:hAnsi="宋体" w:eastAsia="宋体" w:cs="宋体"/>
                <w:sz w:val="24"/>
                <w:szCs w:val="24"/>
                <w:lang w:val="en-US" w:eastAsia="zh-CN"/>
              </w:rPr>
              <w:t>3个月之内交货至供货地点</w:t>
            </w:r>
          </w:p>
          <w:p>
            <w:pPr>
              <w:rPr>
                <w:rFonts w:hint="default" w:hAnsi="宋体" w:eastAsia="宋体" w:cs="宋体"/>
                <w:color w:val="000000"/>
                <w:sz w:val="24"/>
                <w:szCs w:val="24"/>
                <w:highlight w:val="none"/>
                <w:lang w:val="en-US" w:eastAsia="zh-CN"/>
              </w:rPr>
            </w:pPr>
            <w:r>
              <w:rPr>
                <w:rFonts w:hint="eastAsia" w:ascii="宋体" w:hAnsi="宋体" w:eastAsia="宋体" w:cs="宋体"/>
                <w:sz w:val="24"/>
                <w:szCs w:val="24"/>
              </w:rPr>
              <w:t>2. 接续</w:t>
            </w:r>
            <w:r>
              <w:rPr>
                <w:rFonts w:hint="eastAsia" w:ascii="宋体" w:hAnsi="宋体" w:eastAsia="宋体" w:cs="宋体"/>
                <w:sz w:val="24"/>
                <w:szCs w:val="24"/>
                <w:lang w:val="en-US" w:eastAsia="zh-CN"/>
              </w:rPr>
              <w:t>30</w:t>
            </w:r>
            <w:bookmarkStart w:id="152" w:name="_GoBack"/>
            <w:bookmarkEnd w:id="152"/>
            <w:r>
              <w:rPr>
                <w:rFonts w:hint="eastAsia" w:ascii="宋体" w:hAnsi="宋体" w:eastAsia="宋体" w:cs="宋体"/>
                <w:sz w:val="24"/>
                <w:szCs w:val="24"/>
              </w:rPr>
              <w:t>个日历日之内安装调试完毕；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pPr>
              <w:pStyle w:val="19"/>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lang w:eastAsia="zh-CN"/>
              </w:rPr>
              <w:t>中国重汽集团济南动力有限公司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7"/>
              <w:spacing w:after="0" w:line="240" w:lineRule="auto"/>
              <w:ind w:firstLine="482"/>
              <w:rPr>
                <w:rFonts w:ascii="宋体" w:hAnsi="宋体" w:cs="宋体"/>
                <w:b/>
                <w:bCs/>
                <w:sz w:val="24"/>
                <w:szCs w:val="24"/>
              </w:rPr>
            </w:pPr>
            <w:r>
              <w:rPr>
                <w:rFonts w:hint="eastAsia" w:ascii="宋体" w:hAnsi="宋体" w:cs="宋体"/>
                <w:b/>
                <w:bCs/>
                <w:sz w:val="24"/>
                <w:szCs w:val="24"/>
                <w:u w:val="single"/>
              </w:rPr>
              <w:t>付款方式：半年期商业汇票（包括银行承兑汇票和商业承兑汇票）</w:t>
            </w:r>
          </w:p>
          <w:p>
            <w:pPr>
              <w:rPr>
                <w:rFonts w:hint="eastAsia" w:hAnsi="宋体" w:eastAsia="宋体" w:cs="宋体"/>
                <w:b w:val="0"/>
                <w:bCs w:val="0"/>
                <w:color w:val="000000"/>
                <w:sz w:val="24"/>
                <w:szCs w:val="24"/>
                <w:highlight w:val="none"/>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9"/>
        <w:numPr>
          <w:ilvl w:val="0"/>
          <w:numId w:val="2"/>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pPr>
        <w:pStyle w:val="19"/>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9"/>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9"/>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注册时配套能力中的供货类别选择“直管单位非生产招标 / 研发试验类设备 / 研发试验类设备（产品试验检测中心）”对应的业务主管部门为“产品试验检测中心”，提交注册后请电话告知招标方联系人。</w:t>
      </w:r>
    </w:p>
    <w:p>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pPr>
        <w:pStyle w:val="19"/>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pPr>
        <w:pStyle w:val="19"/>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pPr>
        <w:pStyle w:val="19"/>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中国重汽官网等公开媒体公布。</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9"/>
        <w:ind w:firstLine="480"/>
        <w:rPr>
          <w:rFonts w:eastAsia="宋体" w:cs="宋体"/>
          <w:highlight w:val="none"/>
        </w:rPr>
      </w:pPr>
      <w:r>
        <w:rPr>
          <w:rFonts w:hint="eastAsia" w:eastAsia="宋体" w:cs="宋体"/>
          <w:highlight w:val="none"/>
        </w:rPr>
        <w:t>4.2招标人银行账户信息如下：见《投标须知前附表》4.2。</w:t>
      </w:r>
    </w:p>
    <w:p>
      <w:pPr>
        <w:pStyle w:val="119"/>
        <w:ind w:firstLine="480"/>
        <w:rPr>
          <w:rFonts w:eastAsia="宋体" w:cs="宋体"/>
          <w:highlight w:val="none"/>
        </w:rPr>
      </w:pPr>
      <w:r>
        <w:rPr>
          <w:rFonts w:hint="eastAsia" w:eastAsia="宋体" w:cs="宋体"/>
          <w:highlight w:val="none"/>
        </w:rPr>
        <w:t>转账附言：公司名称+项目名称+投标保证金；</w:t>
      </w:r>
    </w:p>
    <w:p>
      <w:pPr>
        <w:pStyle w:val="119"/>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一个付款周期</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一个付款周期</w:t>
      </w:r>
      <w:r>
        <w:rPr>
          <w:rFonts w:hint="eastAsia" w:eastAsia="宋体" w:cs="宋体"/>
          <w:highlight w:val="none"/>
        </w:rPr>
        <w:t>内原路返还（无息）；</w:t>
      </w:r>
    </w:p>
    <w:p>
      <w:pPr>
        <w:pStyle w:val="119"/>
        <w:ind w:firstLine="480"/>
        <w:rPr>
          <w:rFonts w:eastAsia="宋体" w:cs="宋体"/>
          <w:highlight w:val="none"/>
        </w:rPr>
      </w:pPr>
      <w:r>
        <w:rPr>
          <w:rFonts w:hint="eastAsia" w:eastAsia="宋体" w:cs="宋体"/>
          <w:highlight w:val="none"/>
        </w:rPr>
        <w:t>4.3说明</w:t>
      </w:r>
    </w:p>
    <w:p>
      <w:pPr>
        <w:pStyle w:val="119"/>
        <w:ind w:firstLine="480"/>
        <w:rPr>
          <w:rFonts w:eastAsia="宋体" w:cs="宋体"/>
          <w:highlight w:val="none"/>
        </w:rPr>
      </w:pPr>
      <w:r>
        <w:rPr>
          <w:rFonts w:hint="eastAsia" w:eastAsia="宋体" w:cs="宋体"/>
          <w:highlight w:val="none"/>
        </w:rPr>
        <w:t>4.3.1 投标人在向招标人出示《投标保证金缴纳凭证》后方可进行投标；</w:t>
      </w:r>
    </w:p>
    <w:p>
      <w:pPr>
        <w:pStyle w:val="119"/>
        <w:ind w:firstLine="480"/>
        <w:rPr>
          <w:rFonts w:eastAsia="宋体" w:cs="宋体"/>
          <w:highlight w:val="none"/>
        </w:rPr>
      </w:pPr>
      <w:r>
        <w:rPr>
          <w:rFonts w:hint="eastAsia" w:eastAsia="宋体" w:cs="宋体"/>
          <w:highlight w:val="none"/>
        </w:rPr>
        <w:t>4.3.2 发生以下情况时，招标人有权没收保证金：</w:t>
      </w:r>
    </w:p>
    <w:p>
      <w:pPr>
        <w:pStyle w:val="119"/>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pPr>
        <w:pStyle w:val="119"/>
        <w:ind w:firstLine="480"/>
        <w:rPr>
          <w:rFonts w:eastAsia="宋体" w:cs="宋体"/>
          <w:highlight w:val="none"/>
        </w:rPr>
      </w:pPr>
      <w:r>
        <w:rPr>
          <w:rFonts w:hint="eastAsia" w:eastAsia="宋体" w:cs="宋体"/>
          <w:highlight w:val="none"/>
        </w:rPr>
        <w:t>4.3.2.2 投标人递送投标文件后，无正当理由放弃投标的；</w:t>
      </w:r>
    </w:p>
    <w:p>
      <w:pPr>
        <w:pStyle w:val="119"/>
        <w:ind w:firstLine="480"/>
        <w:rPr>
          <w:rFonts w:eastAsia="宋体" w:cs="宋体"/>
          <w:highlight w:val="none"/>
        </w:rPr>
      </w:pPr>
      <w:r>
        <w:rPr>
          <w:rFonts w:hint="eastAsia" w:eastAsia="宋体" w:cs="宋体"/>
          <w:highlight w:val="none"/>
        </w:rPr>
        <w:t>4.3.2.3若为视频开标，招标过程中澄清函等资料原件未按要求提交的；</w:t>
      </w:r>
    </w:p>
    <w:p>
      <w:pPr>
        <w:pStyle w:val="119"/>
        <w:ind w:firstLine="480"/>
        <w:rPr>
          <w:rFonts w:eastAsia="宋体" w:cs="宋体"/>
          <w:highlight w:val="none"/>
        </w:rPr>
      </w:pPr>
      <w:r>
        <w:rPr>
          <w:rFonts w:hint="eastAsia" w:eastAsia="宋体" w:cs="宋体"/>
          <w:highlight w:val="none"/>
        </w:rPr>
        <w:t>4.3.2.4自中标通知书发出之日起30日内，中标人无正当理由不签订合同的；</w:t>
      </w:r>
    </w:p>
    <w:p>
      <w:pPr>
        <w:pStyle w:val="119"/>
        <w:ind w:firstLine="480"/>
        <w:rPr>
          <w:rFonts w:eastAsia="宋体" w:cs="宋体"/>
          <w:highlight w:val="none"/>
        </w:rPr>
      </w:pPr>
      <w:r>
        <w:rPr>
          <w:rFonts w:hint="eastAsia" w:eastAsia="宋体" w:cs="宋体"/>
          <w:highlight w:val="none"/>
        </w:rPr>
        <w:t>4.3.2.5投标人在投标过程中被查实有串标、围标、陪标等违规违纪行为的；</w:t>
      </w:r>
    </w:p>
    <w:p>
      <w:pPr>
        <w:pStyle w:val="119"/>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pPr>
        <w:pStyle w:val="119"/>
        <w:ind w:firstLine="480"/>
        <w:rPr>
          <w:rFonts w:eastAsia="宋体" w:cs="宋体"/>
          <w:highlight w:val="none"/>
        </w:rPr>
      </w:pPr>
      <w:r>
        <w:rPr>
          <w:rFonts w:hint="eastAsia" w:eastAsia="宋体" w:cs="宋体"/>
          <w:highlight w:val="none"/>
        </w:rPr>
        <w:t>4.4投标报名截止时间</w:t>
      </w:r>
    </w:p>
    <w:p>
      <w:pPr>
        <w:pStyle w:val="119"/>
        <w:ind w:firstLine="480"/>
        <w:rPr>
          <w:rFonts w:eastAsia="宋体" w:cs="宋体"/>
          <w:highlight w:val="none"/>
        </w:rPr>
      </w:pPr>
      <w:r>
        <w:rPr>
          <w:rFonts w:hint="eastAsia" w:eastAsia="宋体" w:cs="宋体"/>
          <w:highlight w:val="none"/>
        </w:rPr>
        <w:t>报名方式：见《投标须知前附表》2.3。</w:t>
      </w:r>
    </w:p>
    <w:p>
      <w:pPr>
        <w:pStyle w:val="119"/>
        <w:ind w:firstLine="480"/>
        <w:rPr>
          <w:rFonts w:eastAsia="宋体" w:cs="宋体"/>
          <w:highlight w:val="none"/>
        </w:rPr>
      </w:pPr>
      <w:r>
        <w:rPr>
          <w:rFonts w:hint="eastAsia" w:eastAsia="宋体" w:cs="宋体"/>
          <w:highlight w:val="none"/>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highlight w:val="none"/>
        </w:rPr>
      </w:pPr>
      <w:bookmarkStart w:id="6" w:name="_Toc33285487"/>
      <w:bookmarkStart w:id="7" w:name="_Toc33266914"/>
      <w:bookmarkStart w:id="8" w:name="_Toc33265653"/>
      <w:bookmarkStart w:id="9" w:name="_Toc33266627"/>
      <w:bookmarkStart w:id="10" w:name="_Toc33266950"/>
      <w:bookmarkStart w:id="11" w:name="_Toc33267001"/>
      <w:bookmarkStart w:id="12" w:name="_Toc33265752"/>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3285489"/>
      <w:bookmarkStart w:id="15" w:name="_Toc33266915"/>
      <w:bookmarkStart w:id="16" w:name="_Toc33266951"/>
      <w:bookmarkStart w:id="17" w:name="_Toc33265753"/>
      <w:bookmarkStart w:id="18" w:name="_Toc33266628"/>
      <w:bookmarkStart w:id="19" w:name="_Toc395116634"/>
      <w:bookmarkStart w:id="20" w:name="_Toc33265654"/>
      <w:bookmarkStart w:id="21" w:name="_Toc33267002"/>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综合评标法</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pPr>
        <w:pStyle w:val="19"/>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yellow"/>
        </w:rPr>
        <w:t>请投标人确认中国重汽e采通系统中供应商信息完整、准确，因供应商信息不全或错误导致的报名不成功，由投标人自行承担。</w:t>
      </w:r>
    </w:p>
    <w:p>
      <w:pPr>
        <w:numPr>
          <w:ilvl w:val="0"/>
          <w:numId w:val="7"/>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资质评审：资质审核通过的单位，可以进入</w:t>
      </w:r>
      <w:r>
        <w:rPr>
          <w:rFonts w:hint="eastAsia" w:ascii="宋体" w:hAnsi="宋体" w:eastAsia="宋体" w:cs="宋体"/>
          <w:b/>
          <w:color w:val="000000"/>
          <w:sz w:val="24"/>
          <w:szCs w:val="24"/>
          <w:highlight w:val="none"/>
        </w:rPr>
        <w:t>公开唱标环节；</w:t>
      </w:r>
    </w:p>
    <w:p>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19"/>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19"/>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19"/>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9"/>
      <w:bookmarkStart w:id="23" w:name="OLE_LINK27"/>
      <w:bookmarkStart w:id="24" w:name="OLE_LINK26"/>
      <w:bookmarkStart w:id="25" w:name="OLE_LINK25"/>
      <w:bookmarkStart w:id="26" w:name="OLE_LINK28"/>
      <w:r>
        <w:rPr>
          <w:rFonts w:hint="eastAsia" w:ascii="宋体" w:hAnsi="宋体" w:eastAsia="宋体" w:cs="宋体"/>
          <w:bCs/>
          <w:sz w:val="24"/>
          <w:szCs w:val="24"/>
          <w:highlight w:val="none"/>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19"/>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中国重汽集团济南动力有限公司</w:t>
      </w:r>
      <w:r>
        <w:rPr>
          <w:rFonts w:hint="eastAsia" w:ascii="宋体" w:hAnsi="宋体" w:eastAsia="宋体" w:cs="宋体"/>
          <w:b/>
          <w:color w:val="000000"/>
          <w:sz w:val="24"/>
          <w:szCs w:val="24"/>
          <w:highlight w:val="none"/>
        </w:rPr>
        <w:t>。</w:t>
      </w:r>
    </w:p>
    <w:p>
      <w:pPr>
        <w:pStyle w:val="19"/>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pPr>
        <w:pStyle w:val="19"/>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1.12</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9"/>
      <w:bookmarkStart w:id="31" w:name="OLE_LINK18"/>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pPr>
        <w:pStyle w:val="19"/>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10760"/>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19"/>
      </w:pP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lang w:eastAsia="zh-CN"/>
        </w:rPr>
        <w:t>新能源产品试验检测中心（二期）技改项目-</w:t>
      </w:r>
      <w:r>
        <w:rPr>
          <w:rFonts w:hint="eastAsia" w:ascii="Calibri" w:hAnsi="宋体" w:eastAsia="宋体" w:cs="Times New Roman"/>
          <w:b/>
          <w:bCs/>
          <w:color w:val="000000"/>
          <w:spacing w:val="-8"/>
          <w:sz w:val="52"/>
          <w:szCs w:val="52"/>
          <w:lang w:val="en-US" w:eastAsia="zh-CN"/>
        </w:rPr>
        <w:t>试验室</w:t>
      </w:r>
      <w:r>
        <w:rPr>
          <w:rFonts w:hint="eastAsia" w:ascii="Calibri" w:hAnsi="宋体" w:eastAsia="宋体" w:cs="Times New Roman"/>
          <w:b/>
          <w:bCs/>
          <w:color w:val="000000"/>
          <w:spacing w:val="-8"/>
          <w:sz w:val="52"/>
          <w:szCs w:val="52"/>
          <w:lang w:eastAsia="zh-CN"/>
        </w:rPr>
        <w:t>环保设备设施</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9"/>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9"/>
      </w:pPr>
    </w:p>
    <w:p>
      <w:pPr>
        <w:pStyle w:val="19"/>
        <w:rPr>
          <w:rFonts w:ascii="黑体" w:hAnsi="宋体" w:eastAsia="黑体" w:cs="Times New Roman"/>
          <w:color w:val="000000"/>
          <w:sz w:val="72"/>
          <w:szCs w:val="72"/>
        </w:rPr>
      </w:pPr>
    </w:p>
    <w:p>
      <w:pPr>
        <w:pStyle w:val="19"/>
        <w:rPr>
          <w:rFonts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pStyle w:val="19"/>
        <w:rPr>
          <w:b/>
          <w:bCs/>
        </w:rPr>
      </w:pPr>
    </w:p>
    <w:p>
      <w:pPr>
        <w:spacing w:before="120" w:after="120" w:line="360" w:lineRule="auto"/>
        <w:jc w:val="center"/>
        <w:rPr>
          <w:rFonts w:hint="eastAsia" w:ascii="黑体" w:eastAsia="黑体"/>
          <w:b w:val="0"/>
          <w:sz w:val="28"/>
          <w:szCs w:val="28"/>
        </w:rPr>
      </w:pPr>
      <w:bookmarkStart w:id="33" w:name="_Toc9658377"/>
      <w:bookmarkStart w:id="34" w:name="_Toc169605881"/>
      <w:r>
        <w:rPr>
          <w:rFonts w:hint="eastAsia" w:ascii="黑体" w:eastAsia="黑体"/>
          <w:b w:val="0"/>
          <w:sz w:val="28"/>
          <w:szCs w:val="28"/>
        </w:rPr>
        <w:br w:type="page"/>
      </w:r>
    </w:p>
    <w:p>
      <w:pPr>
        <w:pStyle w:val="2"/>
        <w:spacing w:before="120" w:after="120" w:line="360" w:lineRule="auto"/>
        <w:jc w:val="center"/>
        <w:rPr>
          <w:rFonts w:ascii="黑体" w:eastAsia="黑体"/>
          <w:b w:val="0"/>
          <w:sz w:val="28"/>
          <w:szCs w:val="28"/>
        </w:rPr>
      </w:pPr>
      <w:r>
        <w:rPr>
          <w:rFonts w:hint="eastAsia" w:ascii="黑体" w:eastAsia="黑体"/>
          <w:b w:val="0"/>
          <w:sz w:val="28"/>
          <w:szCs w:val="28"/>
        </w:rPr>
        <w:t>第一章  采购货物概况</w:t>
      </w:r>
      <w:bookmarkEnd w:id="33"/>
    </w:p>
    <w:p>
      <w:pPr>
        <w:pStyle w:val="3"/>
        <w:spacing w:before="120" w:after="120" w:line="360" w:lineRule="auto"/>
        <w:jc w:val="center"/>
        <w:rPr>
          <w:b w:val="0"/>
          <w:sz w:val="24"/>
          <w:szCs w:val="24"/>
        </w:rPr>
      </w:pPr>
      <w:bookmarkStart w:id="35" w:name="_Toc9658378"/>
      <w:r>
        <w:rPr>
          <w:rFonts w:hint="eastAsia"/>
          <w:b w:val="0"/>
          <w:sz w:val="24"/>
          <w:szCs w:val="24"/>
        </w:rPr>
        <w:t>第一节  使用环境</w:t>
      </w:r>
      <w:bookmarkEnd w:id="35"/>
    </w:p>
    <w:p>
      <w:pPr>
        <w:snapToGrid w:val="0"/>
        <w:spacing w:line="360" w:lineRule="auto"/>
        <w:ind w:left="0" w:leftChars="0" w:firstLine="480" w:firstLineChars="200"/>
        <w:rPr>
          <w:rFonts w:hint="eastAsia" w:ascii="宋体" w:hAnsi="宋体" w:eastAsia="宋体" w:cs="宋体"/>
          <w:sz w:val="24"/>
          <w:szCs w:val="24"/>
          <w:u w:val="single"/>
          <w:shd w:val="pct10" w:color="auto" w:fill="FFFFFF"/>
          <w:lang w:eastAsia="zh-CN"/>
        </w:rPr>
      </w:pPr>
      <w:r>
        <w:rPr>
          <w:rFonts w:hint="eastAsia" w:ascii="宋体" w:hAnsi="宋体" w:eastAsia="宋体" w:cs="宋体"/>
          <w:sz w:val="24"/>
          <w:szCs w:val="24"/>
        </w:rPr>
        <w:t>一、项目名称：新能源产品试验检测中心（二期）技改项目-</w:t>
      </w:r>
      <w:r>
        <w:rPr>
          <w:rFonts w:hint="eastAsia" w:ascii="宋体" w:hAnsi="宋体" w:eastAsia="宋体" w:cs="宋体"/>
          <w:sz w:val="24"/>
          <w:szCs w:val="24"/>
          <w:lang w:eastAsia="zh-CN"/>
        </w:rPr>
        <w:t>试验室环保设备设施</w:t>
      </w:r>
    </w:p>
    <w:p>
      <w:pPr>
        <w:snapToGrid w:val="0"/>
        <w:spacing w:line="360" w:lineRule="auto"/>
        <w:ind w:left="0" w:leftChars="0" w:firstLine="480" w:firstLineChars="200"/>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lang w:val="en-US" w:eastAsia="zh-CN"/>
        </w:rPr>
        <w:t>济南市莱芜区莱城大道1188号</w:t>
      </w:r>
    </w:p>
    <w:p>
      <w:pPr>
        <w:spacing w:line="360" w:lineRule="auto"/>
        <w:ind w:left="0" w:leftChars="0" w:firstLine="480" w:firstLineChars="2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lang w:val="en-US" w:eastAsia="zh-CN"/>
        </w:rPr>
        <w:t>济南市莱芜区莱城大道1188号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none"/>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lang w:val="en-US" w:eastAsia="zh-CN"/>
        </w:rPr>
        <w:t>876</w:t>
      </w:r>
      <w:r>
        <w:rPr>
          <w:rFonts w:hint="eastAsia" w:ascii="宋体" w:hAnsi="宋体" w:eastAsia="宋体" w:cs="宋体"/>
          <w:sz w:val="24"/>
          <w:szCs w:val="24"/>
          <w:highlight w:val="none"/>
        </w:rPr>
        <w:t>0小时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五、使用地点区域自然环境：</w:t>
      </w:r>
    </w:p>
    <w:p>
      <w:pPr>
        <w:numPr>
          <w:ilvl w:val="0"/>
          <w:numId w:val="11"/>
        </w:numPr>
        <w:spacing w:line="360" w:lineRule="auto"/>
        <w:rPr>
          <w:rFonts w:hint="eastAsia" w:ascii="宋体" w:hAnsi="宋体" w:eastAsia="宋体" w:cs="宋体"/>
          <w:sz w:val="24"/>
          <w:szCs w:val="24"/>
        </w:rPr>
      </w:pPr>
      <w:r>
        <w:rPr>
          <w:rFonts w:hint="eastAsia" w:ascii="宋体" w:hAnsi="宋体" w:eastAsia="宋体" w:cs="宋体"/>
          <w:sz w:val="24"/>
          <w:szCs w:val="24"/>
        </w:rPr>
        <w:t>海</w:t>
      </w:r>
      <w:r>
        <w:rPr>
          <w:rFonts w:hint="eastAsia" w:ascii="宋体" w:hAnsi="宋体" w:eastAsia="宋体" w:cs="宋体"/>
          <w:color w:val="000000"/>
          <w:sz w:val="24"/>
          <w:szCs w:val="24"/>
        </w:rPr>
        <w:t>拔</w:t>
      </w:r>
      <w:r>
        <w:rPr>
          <w:rFonts w:hint="eastAsia" w:ascii="宋体" w:hAnsi="宋体" w:eastAsia="宋体" w:cs="宋体"/>
          <w:sz w:val="24"/>
          <w:szCs w:val="24"/>
        </w:rPr>
        <w:t>高度：1000m以下</w:t>
      </w:r>
    </w:p>
    <w:p>
      <w:pPr>
        <w:numPr>
          <w:ilvl w:val="0"/>
          <w:numId w:val="11"/>
        </w:numPr>
        <w:spacing w:line="360" w:lineRule="auto"/>
        <w:rPr>
          <w:rFonts w:hint="eastAsia" w:ascii="宋体" w:hAnsi="宋体" w:eastAsia="宋体" w:cs="宋体"/>
          <w:sz w:val="24"/>
          <w:szCs w:val="24"/>
        </w:rPr>
      </w:pPr>
      <w:r>
        <w:rPr>
          <w:rFonts w:hint="eastAsia" w:ascii="宋体" w:hAnsi="宋体" w:eastAsia="宋体" w:cs="宋体"/>
          <w:sz w:val="24"/>
          <w:szCs w:val="24"/>
        </w:rPr>
        <w:t>环境温度：室外极端最低温度-20℃、极端最高温度45℃，昼夜最大温差25℃；室内温度5～42℃。</w:t>
      </w:r>
    </w:p>
    <w:p>
      <w:pPr>
        <w:numPr>
          <w:ilvl w:val="0"/>
          <w:numId w:val="11"/>
        </w:numPr>
        <w:spacing w:line="360" w:lineRule="auto"/>
        <w:rPr>
          <w:rFonts w:hint="eastAsia" w:ascii="宋体" w:hAnsi="宋体" w:eastAsia="宋体" w:cs="宋体"/>
          <w:sz w:val="24"/>
          <w:szCs w:val="24"/>
        </w:rPr>
      </w:pPr>
      <w:r>
        <w:rPr>
          <w:rFonts w:hint="eastAsia" w:ascii="宋体" w:hAnsi="宋体" w:eastAsia="宋体" w:cs="宋体"/>
          <w:sz w:val="24"/>
          <w:szCs w:val="24"/>
        </w:rPr>
        <w:t>相对湿度：年平均59%，最大95%、最小15%。</w:t>
      </w:r>
    </w:p>
    <w:p>
      <w:pPr>
        <w:numPr>
          <w:ilvl w:val="0"/>
          <w:numId w:val="11"/>
        </w:numPr>
        <w:spacing w:line="360" w:lineRule="auto"/>
        <w:rPr>
          <w:rFonts w:hint="eastAsia" w:ascii="宋体" w:hAnsi="宋体" w:eastAsia="宋体" w:cs="宋体"/>
          <w:sz w:val="24"/>
          <w:szCs w:val="24"/>
        </w:rPr>
      </w:pPr>
      <w:r>
        <w:rPr>
          <w:rFonts w:hint="eastAsia" w:ascii="宋体" w:hAnsi="宋体" w:eastAsia="宋体" w:cs="宋体"/>
          <w:sz w:val="24"/>
          <w:szCs w:val="24"/>
        </w:rPr>
        <w:t>地震设防裂度：七度。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六、设备安装环境：</w:t>
      </w:r>
    </w:p>
    <w:p>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电力：中国制式，供电电压690V±15%/380V±15%/220V±15%，供电频率50Hz±2%。</w:t>
      </w:r>
    </w:p>
    <w:p>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给水：自来水供水。</w:t>
      </w:r>
    </w:p>
    <w:p>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水泥地面。</w:t>
      </w:r>
    </w:p>
    <w:p>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招标范围</w:t>
      </w:r>
      <w:r>
        <w:rPr>
          <w:rFonts w:hint="eastAsia" w:ascii="宋体" w:hAnsi="宋体" w:eastAsia="宋体" w:cs="宋体"/>
          <w:sz w:val="24"/>
          <w:szCs w:val="24"/>
        </w:rPr>
        <w:t>基本描述：</w:t>
      </w:r>
      <w:r>
        <w:rPr>
          <w:rFonts w:hint="eastAsia" w:ascii="宋体" w:hAnsi="宋体" w:eastAsia="宋体" w:cs="宋体"/>
          <w:sz w:val="24"/>
          <w:szCs w:val="24"/>
          <w:lang w:val="en-US" w:eastAsia="zh-CN"/>
        </w:rPr>
        <w:t>本次招标范围为五号试验室（材料试验室）有机、无机废气、燃烧颗粒物等的排放及处理装置、通风橱及原子吸收罩等。</w:t>
      </w:r>
    </w:p>
    <w:p>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环保设施建设基本要求：尾气排放管道需离地面</w:t>
      </w:r>
      <w:r>
        <w:rPr>
          <w:rFonts w:hint="eastAsia" w:ascii="宋体" w:hAnsi="宋体" w:eastAsia="宋体" w:cs="宋体"/>
          <w:sz w:val="24"/>
          <w:szCs w:val="24"/>
          <w:lang w:val="en-US" w:eastAsia="zh-CN"/>
        </w:rPr>
        <w:t>15</w:t>
      </w:r>
      <w:r>
        <w:rPr>
          <w:rFonts w:hint="eastAsia" w:ascii="宋体" w:hAnsi="宋体" w:eastAsia="宋体" w:cs="宋体"/>
          <w:sz w:val="24"/>
          <w:szCs w:val="24"/>
        </w:rPr>
        <w:t>米及以上且高过屋面最高点3米及以上</w:t>
      </w:r>
      <w:r>
        <w:rPr>
          <w:rFonts w:hint="eastAsia" w:ascii="宋体" w:hAnsi="宋体" w:eastAsia="宋体" w:cs="宋体"/>
          <w:sz w:val="24"/>
          <w:szCs w:val="24"/>
          <w:lang w:val="en-US" w:eastAsia="zh-CN"/>
        </w:rPr>
        <w:t>；五号试验室油品试验产生的含挥发性有机物、甲苯等有机废气收集后，需经两级活性炭吸附装置处理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五号试验室油品试验产生的含硫酸雾等酸性废气收集后，经干式酸气吸附剂吸附处理；五号试验室燃烧试验产生的含颗粒物、一氧化碳等废气收集后，经烟尘净化装置处理，烟尘净化装置由招标方提供。</w:t>
      </w:r>
    </w:p>
    <w:p>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试验室相关房间布置如下所示，具体执行图纸详见标书附件</w:t>
      </w:r>
      <w:r>
        <w:rPr>
          <w:rFonts w:hint="eastAsia" w:ascii="宋体" w:hAnsi="宋体" w:eastAsia="宋体" w:cs="宋体"/>
          <w:sz w:val="24"/>
          <w:szCs w:val="24"/>
          <w:lang w:eastAsia="zh-CN"/>
        </w:rPr>
        <w:t>。</w:t>
      </w:r>
    </w:p>
    <w:p>
      <w:pPr>
        <w:rPr>
          <w:rFonts w:ascii="宋体" w:hAnsi="宋体"/>
          <w:szCs w:val="24"/>
        </w:rPr>
      </w:pPr>
      <w:r>
        <w:rPr>
          <w:rFonts w:ascii="宋体" w:hAnsi="宋体"/>
          <w:szCs w:val="24"/>
        </w:rPr>
        <w:br w:type="page"/>
      </w:r>
    </w:p>
    <w:p>
      <w:pPr>
        <w:spacing w:line="360" w:lineRule="auto"/>
        <w:ind w:left="0"/>
        <w:rPr>
          <w:rFonts w:hint="eastAsia" w:ascii="宋体" w:hAnsi="宋体" w:eastAsia="宋体" w:cs="宋体"/>
          <w:sz w:val="24"/>
          <w:szCs w:val="24"/>
          <w:lang w:val="en-US" w:eastAsia="zh-CN"/>
        </w:rPr>
      </w:pPr>
    </w:p>
    <w:p>
      <w:pPr>
        <w:spacing w:line="360" w:lineRule="auto"/>
        <w:ind w:left="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附：五号</w:t>
      </w:r>
      <w:r>
        <w:rPr>
          <w:rFonts w:hint="eastAsia" w:ascii="宋体" w:hAnsi="宋体" w:eastAsia="宋体" w:cs="宋体"/>
          <w:sz w:val="24"/>
          <w:szCs w:val="24"/>
        </w:rPr>
        <w:t>试验室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材料试验室）工艺平面图附件</w:t>
      </w:r>
    </w:p>
    <w:p>
      <w:pPr>
        <w:pStyle w:val="19"/>
        <w:rPr>
          <w:rFonts w:hint="eastAsia" w:ascii="宋体" w:hAnsi="宋体" w:eastAsia="宋体" w:cs="宋体"/>
          <w:sz w:val="24"/>
          <w:szCs w:val="24"/>
          <w:lang w:val="en-US" w:eastAsia="zh-CN"/>
        </w:rPr>
      </w:pPr>
    </w:p>
    <w:p>
      <w:pPr>
        <w:pStyle w:val="1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object>
          <v:shape id="_x0000_i1025" o:spt="75" type="#_x0000_t75" style="height:65.5pt;width:72.5pt;" o:ole="t" filled="f" o:preferrelative="t" stroked="f" coordsize="21600,21600">
            <v:path/>
            <v:fill on="f" focussize="0,0"/>
            <v:stroke on="f"/>
            <v:imagedata r:id="rId40" o:title=""/>
            <o:lock v:ext="edit" aspectratio="t"/>
            <w10:wrap type="none"/>
            <w10:anchorlock/>
          </v:shape>
          <o:OLEObject Type="Embed" ProgID="AutoCAD.Drawing.24" ShapeID="_x0000_i1025" DrawAspect="Icon" ObjectID="_1468075725" r:id="rId39">
            <o:LockedField>false</o:LockedField>
          </o:OLEObject>
        </w:object>
      </w:r>
    </w:p>
    <w:p>
      <w:pPr>
        <w:spacing w:line="360" w:lineRule="auto"/>
        <w:jc w:val="left"/>
        <w:rPr>
          <w:rFonts w:hint="eastAsia" w:eastAsiaTheme="minorEastAsia"/>
          <w:lang w:eastAsia="zh-CN"/>
        </w:rPr>
      </w:pPr>
      <w:r>
        <w:br w:type="page"/>
      </w:r>
    </w:p>
    <w:p>
      <w:pPr>
        <w:pStyle w:val="3"/>
        <w:spacing w:before="120" w:after="120" w:line="360" w:lineRule="auto"/>
        <w:jc w:val="center"/>
        <w:rPr>
          <w:rFonts w:ascii="宋体" w:hAnsi="宋体" w:eastAsia="宋体"/>
          <w:sz w:val="24"/>
          <w:szCs w:val="24"/>
        </w:rPr>
      </w:pPr>
      <w:bookmarkStart w:id="36" w:name="_Toc9658379"/>
      <w:r>
        <w:rPr>
          <w:rFonts w:hint="eastAsia" w:ascii="宋体" w:hAnsi="宋体" w:eastAsia="宋体"/>
          <w:sz w:val="24"/>
          <w:szCs w:val="24"/>
        </w:rPr>
        <w:t>第二节  采购货物概况</w:t>
      </w:r>
      <w:bookmarkEnd w:id="36"/>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none"/>
          <w:shd w:val="clear" w:color="auto" w:fill="auto"/>
        </w:rPr>
        <w:t>试验室环保设备设施</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rPr>
        <w:t>详见下表</w:t>
      </w:r>
    </w:p>
    <w:p>
      <w:pPr>
        <w:spacing w:line="360" w:lineRule="auto"/>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三、分投分中：</w:t>
      </w:r>
      <w:r>
        <w:rPr>
          <w:rFonts w:hint="eastAsia" w:ascii="宋体" w:hAnsi="宋体" w:eastAsia="宋体" w:cs="宋体"/>
          <w:b/>
          <w:sz w:val="24"/>
          <w:szCs w:val="24"/>
          <w:lang w:val="en-US" w:eastAsia="zh-CN"/>
        </w:rPr>
        <w:t>不</w:t>
      </w:r>
      <w:r>
        <w:rPr>
          <w:rFonts w:hint="eastAsia" w:ascii="宋体" w:hAnsi="宋体" w:eastAsia="宋体" w:cs="宋体"/>
          <w:sz w:val="24"/>
          <w:szCs w:val="24"/>
          <w:u w:val="none"/>
          <w:shd w:val="clear" w:color="auto" w:fill="auto"/>
        </w:rPr>
        <w:t>允许</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38"/>
        <w:tblW w:w="98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8"/>
        <w:gridCol w:w="2867"/>
        <w:gridCol w:w="1500"/>
        <w:gridCol w:w="540"/>
        <w:gridCol w:w="810"/>
        <w:gridCol w:w="1417"/>
        <w:gridCol w:w="968"/>
        <w:gridCol w:w="9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 w:hRule="atLeast"/>
          <w:jc w:val="center"/>
        </w:trPr>
        <w:tc>
          <w:tcPr>
            <w:tcW w:w="80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序号</w:t>
            </w:r>
          </w:p>
        </w:tc>
        <w:tc>
          <w:tcPr>
            <w:tcW w:w="2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名称</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型号规格</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单位</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数量</w:t>
            </w: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安装地点</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交货期</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批次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p>
        </w:tc>
        <w:tc>
          <w:tcPr>
            <w:tcW w:w="2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color w:val="000000"/>
                <w:sz w:val="24"/>
                <w:szCs w:val="24"/>
              </w:rPr>
              <w:t>试验室环保设备设施-</w:t>
            </w:r>
            <w:r>
              <w:rPr>
                <w:rFonts w:hint="eastAsia" w:ascii="宋体" w:hAnsi="宋体" w:eastAsia="宋体" w:cs="宋体"/>
                <w:color w:val="000000"/>
                <w:sz w:val="24"/>
                <w:szCs w:val="24"/>
                <w:lang w:val="en-US" w:eastAsia="zh-CN"/>
              </w:rPr>
              <w:t>材料试验室</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非标</w:t>
            </w:r>
            <w:r>
              <w:rPr>
                <w:rFonts w:hint="eastAsia" w:ascii="宋体" w:hAnsi="宋体" w:eastAsia="宋体" w:cs="宋体"/>
                <w:b w:val="0"/>
                <w:color w:val="000000"/>
                <w:sz w:val="24"/>
                <w:szCs w:val="24"/>
                <w:lang w:val="en-US" w:eastAsia="zh-CN"/>
              </w:rPr>
              <w:t>定制</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highlight w:val="cyan"/>
              </w:rPr>
            </w:pPr>
            <w:r>
              <w:rPr>
                <w:rFonts w:hint="eastAsia" w:ascii="宋体" w:hAnsi="宋体" w:eastAsia="宋体" w:cs="宋体"/>
                <w:b w:val="0"/>
                <w:color w:val="000000"/>
                <w:sz w:val="24"/>
                <w:szCs w:val="24"/>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color w:val="000000"/>
                <w:sz w:val="24"/>
                <w:szCs w:val="24"/>
              </w:rPr>
              <w:t>济南市莱芜区莱城大道1188号</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lang w:val="en-US" w:eastAsia="zh-CN"/>
              </w:rPr>
              <w:t>2026-04-30</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p>
        </w:tc>
      </w:tr>
    </w:tbl>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bidi="ar"/>
        </w:rPr>
        <w:t>四、采购货物特别说明</w:t>
      </w:r>
    </w:p>
    <w:p>
      <w:pPr>
        <w:spacing w:line="360" w:lineRule="auto"/>
        <w:ind w:firstLine="480" w:firstLineChars="200"/>
        <w:rPr>
          <w:rFonts w:hint="eastAsia" w:ascii="宋体" w:hAnsi="宋体" w:eastAsia="宋体" w:cs="宋体"/>
          <w:sz w:val="24"/>
          <w:szCs w:val="24"/>
          <w:u w:val="single"/>
          <w:shd w:val="pct10" w:color="auto" w:fill="FFFFFF"/>
        </w:rPr>
      </w:pPr>
      <w:r>
        <w:rPr>
          <w:rFonts w:hint="eastAsia" w:ascii="宋体" w:hAnsi="宋体" w:eastAsia="宋体" w:cs="宋体"/>
          <w:sz w:val="24"/>
          <w:szCs w:val="24"/>
          <w:lang w:bidi="ar"/>
        </w:rPr>
        <w:t>招标方所列货物的名称和规格型号，如为某一供应商所特有，则该名称和规格型号可作参考；但要求投标方所提供的货物必须满足本技术标书实质性要求。</w:t>
      </w:r>
    </w:p>
    <w:p>
      <w:pPr>
        <w:rPr>
          <w:rFonts w:ascii="宋体" w:hAnsi="宋体" w:cs="宋体"/>
          <w:sz w:val="28"/>
          <w:szCs w:val="28"/>
        </w:rPr>
      </w:pPr>
      <w:bookmarkStart w:id="37" w:name="_Toc9658380"/>
      <w:r>
        <w:rPr>
          <w:rFonts w:hint="eastAsia" w:ascii="宋体" w:hAnsi="宋体" w:cs="宋体"/>
          <w:sz w:val="28"/>
          <w:szCs w:val="28"/>
        </w:rPr>
        <w:br w:type="page"/>
      </w:r>
    </w:p>
    <w:p>
      <w:pPr>
        <w:pStyle w:val="2"/>
        <w:spacing w:before="120" w:after="120" w:line="360" w:lineRule="auto"/>
        <w:jc w:val="center"/>
        <w:rPr>
          <w:rFonts w:hint="eastAsia" w:ascii="黑体" w:hAnsi="黑体" w:eastAsia="黑体" w:cs="黑体"/>
          <w:b w:val="0"/>
          <w:sz w:val="28"/>
          <w:szCs w:val="28"/>
        </w:rPr>
      </w:pPr>
      <w:r>
        <w:rPr>
          <w:rFonts w:hint="eastAsia" w:ascii="黑体" w:hAnsi="黑体" w:eastAsia="黑体" w:cs="黑体"/>
          <w:b w:val="0"/>
          <w:sz w:val="28"/>
          <w:szCs w:val="28"/>
        </w:rPr>
        <w:t>第二章  技术要求</w:t>
      </w:r>
      <w:bookmarkEnd w:id="37"/>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7、投标文件中，针对“特别提示”条款所做的回应，将作为投标方能否中标的重要依据之一。</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7、投标方应对招标方采购的货物所涉及的技术、产能等信息负有保密义务，招标方拥有追究投标方泄密责任的权利；招标方如有需要，投标方应无条件签署保密协议。</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7、符合《中国重汽新能源产品试验检测中心项目环境影响报告表》和《中国重汽新能源产品试验检测中心项目（</w:t>
      </w:r>
      <w:r>
        <w:rPr>
          <w:rFonts w:hint="eastAsia" w:ascii="宋体" w:hAnsi="宋体" w:eastAsia="宋体" w:cs="宋体"/>
          <w:sz w:val="24"/>
          <w:szCs w:val="24"/>
          <w:lang w:val="en-US" w:eastAsia="zh-CN"/>
        </w:rPr>
        <w:t>二</w:t>
      </w:r>
      <w:r>
        <w:rPr>
          <w:rFonts w:hint="eastAsia" w:ascii="宋体" w:hAnsi="宋体" w:eastAsia="宋体" w:cs="宋体"/>
          <w:sz w:val="24"/>
          <w:szCs w:val="24"/>
        </w:rPr>
        <w:t>期）环境影响报告表的批复》的相关内容</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8、主要适用的标准如下：</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T/CIQA3-2020《实验室风幕式排风柜系统技术规范》</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GB 50019-2015《工业建筑供暖通风与空气调节设计规范》</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HG/T 20698-2009《化工采暖通风与空气调节设计规范》</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GB 50738-2011《通风与空调工程施工规范》</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GB 50243-2016《通风与空调工程施工质量验收规范》</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SH/T 3103-2009《石油化工中心化验室设计规范》</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GB</w:t>
      </w:r>
      <w:r>
        <w:rPr>
          <w:rFonts w:hint="eastAsia" w:hAnsi="宋体" w:eastAsia="宋体" w:cs="宋体"/>
          <w:sz w:val="24"/>
          <w:szCs w:val="24"/>
          <w:lang w:val="en-US" w:eastAsia="zh-CN"/>
        </w:rPr>
        <w:t xml:space="preserve"> </w:t>
      </w:r>
      <w:r>
        <w:rPr>
          <w:rFonts w:hint="eastAsia" w:hAnsi="宋体" w:eastAsia="宋体" w:cs="宋体"/>
          <w:sz w:val="24"/>
          <w:szCs w:val="24"/>
        </w:rPr>
        <w:t xml:space="preserve">50235-2010《工业金属管道施工规范》                            </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 xml:space="preserve">GB 50184-2011《工业金属管道工程施工质量验收规范》               </w:t>
      </w:r>
    </w:p>
    <w:p>
      <w:pPr>
        <w:pStyle w:val="19"/>
        <w:spacing w:line="360" w:lineRule="auto"/>
        <w:ind w:firstLine="480" w:firstLineChars="200"/>
        <w:rPr>
          <w:rFonts w:hint="eastAsia" w:hAnsi="宋体" w:eastAsia="宋体" w:cs="宋体"/>
          <w:sz w:val="24"/>
          <w:szCs w:val="24"/>
        </w:rPr>
      </w:pPr>
      <w:r>
        <w:rPr>
          <w:rFonts w:hint="eastAsia" w:hAnsi="宋体" w:eastAsia="宋体" w:cs="宋体"/>
          <w:sz w:val="24"/>
          <w:szCs w:val="24"/>
        </w:rPr>
        <w:t>GB</w:t>
      </w:r>
      <w:r>
        <w:rPr>
          <w:rFonts w:hint="eastAsia" w:hAnsi="宋体" w:eastAsia="宋体" w:cs="宋体"/>
          <w:sz w:val="24"/>
          <w:szCs w:val="24"/>
          <w:lang w:val="en-US" w:eastAsia="zh-CN"/>
        </w:rPr>
        <w:t xml:space="preserve"> </w:t>
      </w:r>
      <w:r>
        <w:rPr>
          <w:rFonts w:hint="eastAsia" w:hAnsi="宋体" w:eastAsia="宋体" w:cs="宋体"/>
          <w:sz w:val="24"/>
          <w:szCs w:val="24"/>
        </w:rPr>
        <w:t xml:space="preserve">50236-2011《现场设备、工业管道焊接工程施工规范》 </w:t>
      </w:r>
    </w:p>
    <w:p>
      <w:pPr>
        <w:pStyle w:val="19"/>
        <w:spacing w:line="360" w:lineRule="auto"/>
        <w:ind w:firstLine="480" w:firstLineChars="200"/>
        <w:rPr>
          <w:rFonts w:hint="eastAsia" w:hAnsi="宋体" w:eastAsia="宋体" w:cs="宋体"/>
          <w:sz w:val="24"/>
          <w:szCs w:val="24"/>
        </w:rPr>
      </w:pPr>
      <w:r>
        <w:rPr>
          <w:rFonts w:hint="eastAsia" w:ascii="宋体" w:hAnsi="宋体" w:eastAsia="宋体" w:cs="宋体"/>
          <w:sz w:val="24"/>
          <w:szCs w:val="28"/>
        </w:rPr>
        <w:t>DB37/T  3535-2019《固定污染源废气监测点位设置技术规范》</w:t>
      </w:r>
      <w:r>
        <w:rPr>
          <w:rFonts w:hint="eastAsia" w:hAnsi="宋体" w:eastAsia="宋体" w:cs="宋体"/>
          <w:sz w:val="24"/>
          <w:szCs w:val="24"/>
        </w:rPr>
        <w:t xml:space="preserve"> </w:t>
      </w:r>
    </w:p>
    <w:p>
      <w:pPr>
        <w:pStyle w:val="19"/>
        <w:spacing w:line="360" w:lineRule="auto"/>
        <w:ind w:firstLine="480" w:firstLineChars="200"/>
        <w:rPr>
          <w:rFonts w:hint="eastAsia" w:hAnsi="宋体" w:eastAsia="宋体" w:cs="宋体"/>
          <w:sz w:val="24"/>
          <w:szCs w:val="24"/>
          <w:lang w:val="en-US" w:eastAsia="zh-CN"/>
        </w:rPr>
      </w:pPr>
      <w:r>
        <w:rPr>
          <w:rFonts w:hint="eastAsia" w:hAnsi="宋体" w:eastAsia="宋体" w:cs="宋体"/>
          <w:sz w:val="24"/>
          <w:szCs w:val="24"/>
        </w:rPr>
        <w:t>JGJ/T 141-2017</w:t>
      </w:r>
      <w:r>
        <w:rPr>
          <w:rFonts w:hint="eastAsia" w:hAnsi="宋体" w:eastAsia="宋体" w:cs="宋体"/>
          <w:sz w:val="24"/>
          <w:szCs w:val="24"/>
          <w:lang w:eastAsia="zh-CN"/>
        </w:rPr>
        <w:t>《</w:t>
      </w:r>
      <w:r>
        <w:rPr>
          <w:rFonts w:hint="eastAsia" w:hAnsi="宋体" w:eastAsia="宋体" w:cs="宋体"/>
          <w:sz w:val="24"/>
          <w:szCs w:val="24"/>
          <w:lang w:val="en-US" w:eastAsia="zh-CN"/>
        </w:rPr>
        <w:t>通风管道技术规程》</w:t>
      </w:r>
    </w:p>
    <w:p>
      <w:pPr>
        <w:pStyle w:val="19"/>
        <w:spacing w:line="360" w:lineRule="auto"/>
        <w:ind w:firstLine="480" w:firstLineChars="200"/>
        <w:rPr>
          <w:rFonts w:hint="eastAsia" w:hAnsi="宋体" w:eastAsia="宋体" w:cs="宋体"/>
          <w:sz w:val="24"/>
          <w:szCs w:val="24"/>
          <w:lang w:val="en-US" w:eastAsia="zh-CN"/>
        </w:rPr>
      </w:pPr>
      <w:r>
        <w:rPr>
          <w:rFonts w:hint="default" w:hAnsi="宋体" w:eastAsia="宋体" w:cs="宋体"/>
          <w:sz w:val="24"/>
          <w:szCs w:val="24"/>
          <w:lang w:val="en-US" w:eastAsia="zh-CN"/>
        </w:rPr>
        <w:t>GB/T 16758</w:t>
      </w:r>
      <w:r>
        <w:rPr>
          <w:rFonts w:hint="eastAsia" w:hAnsi="宋体" w:eastAsia="宋体" w:cs="宋体"/>
          <w:sz w:val="24"/>
          <w:szCs w:val="24"/>
          <w:lang w:val="en-US" w:eastAsia="zh-CN"/>
        </w:rPr>
        <w:t>-2008《排风罩的分类及技术条件》</w:t>
      </w:r>
    </w:p>
    <w:p>
      <w:pPr>
        <w:pStyle w:val="19"/>
        <w:spacing w:line="360" w:lineRule="auto"/>
        <w:ind w:firstLine="480" w:firstLineChars="200"/>
        <w:rPr>
          <w:rFonts w:hint="default" w:hAnsi="宋体" w:eastAsia="宋体" w:cs="宋体"/>
          <w:sz w:val="24"/>
          <w:szCs w:val="24"/>
          <w:lang w:val="en-US" w:eastAsia="zh-CN"/>
        </w:rPr>
      </w:pPr>
      <w:r>
        <w:rPr>
          <w:rFonts w:hint="default" w:hAnsi="宋体" w:eastAsia="宋体" w:cs="宋体"/>
          <w:sz w:val="24"/>
          <w:szCs w:val="24"/>
          <w:lang w:val="en-US" w:eastAsia="zh-CN"/>
        </w:rPr>
        <w:t>AQ/T 4274-2016</w:t>
      </w:r>
      <w:r>
        <w:rPr>
          <w:rFonts w:hint="eastAsia" w:hAnsi="宋体" w:eastAsia="宋体" w:cs="宋体"/>
          <w:sz w:val="24"/>
          <w:szCs w:val="24"/>
          <w:lang w:val="en-US" w:eastAsia="zh-CN"/>
        </w:rPr>
        <w:t>《局部排风设施控制风速检测与评估技术规范》</w:t>
      </w:r>
    </w:p>
    <w:p>
      <w:pPr>
        <w:spacing w:line="360" w:lineRule="auto"/>
        <w:ind w:firstLine="361" w:firstLineChars="150"/>
        <w:rPr>
          <w:rFonts w:hint="eastAsia" w:ascii="宋体" w:hAnsi="宋体" w:eastAsia="宋体" w:cs="宋体"/>
          <w:b/>
          <w:sz w:val="24"/>
          <w:szCs w:val="24"/>
        </w:rPr>
      </w:pPr>
      <w:r>
        <w:rPr>
          <w:rFonts w:hint="eastAsia" w:ascii="宋体" w:hAnsi="宋体" w:eastAsia="宋体" w:cs="宋体"/>
          <w:b/>
          <w:sz w:val="24"/>
          <w:szCs w:val="24"/>
        </w:rPr>
        <w:t>四、货物需求一览表</w:t>
      </w:r>
    </w:p>
    <w:p>
      <w:pPr>
        <w:spacing w:line="360" w:lineRule="auto"/>
        <w:ind w:firstLine="360" w:firstLineChars="150"/>
        <w:rPr>
          <w:rFonts w:hint="eastAsia" w:ascii="宋体" w:hAnsi="宋体" w:eastAsia="宋体" w:cs="宋体"/>
          <w:b/>
          <w:sz w:val="24"/>
          <w:szCs w:val="24"/>
        </w:rPr>
      </w:pPr>
      <w:r>
        <w:rPr>
          <w:rFonts w:hint="eastAsia" w:ascii="宋体" w:hAnsi="宋体" w:eastAsia="宋体" w:cs="宋体"/>
          <w:sz w:val="24"/>
          <w:szCs w:val="24"/>
        </w:rPr>
        <w:t>详见第二节采购货物主要构成一览表。</w:t>
      </w:r>
    </w:p>
    <w:p>
      <w:pPr>
        <w:spacing w:line="360" w:lineRule="auto"/>
        <w:ind w:firstLine="361" w:firstLineChars="150"/>
        <w:rPr>
          <w:rFonts w:hint="eastAsia" w:ascii="宋体" w:hAnsi="宋体" w:eastAsia="宋体" w:cs="宋体"/>
          <w:b/>
          <w:sz w:val="24"/>
          <w:szCs w:val="24"/>
          <w:lang w:val="en-US" w:eastAsia="zh-CN"/>
        </w:rPr>
      </w:pPr>
      <w:r>
        <w:rPr>
          <w:rFonts w:hint="eastAsia" w:ascii="宋体" w:hAnsi="宋体" w:eastAsia="宋体" w:cs="宋体"/>
          <w:b/>
          <w:sz w:val="24"/>
          <w:szCs w:val="24"/>
        </w:rPr>
        <w:t>五、技术规范</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1、整体说明（即总则，分项论述未涉及部分，以总则为准）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1.1排风管道设计参数：排风主</w:t>
      </w:r>
      <w:r>
        <w:rPr>
          <w:rFonts w:hint="eastAsia" w:ascii="宋体" w:hAnsi="宋体" w:eastAsia="宋体" w:cs="宋体"/>
          <w:b w:val="0"/>
          <w:bCs/>
          <w:sz w:val="24"/>
          <w:szCs w:val="24"/>
          <w:lang w:val="en-US" w:eastAsia="zh-CN"/>
        </w:rPr>
        <w:t>管道</w:t>
      </w:r>
      <w:r>
        <w:rPr>
          <w:rFonts w:hint="eastAsia" w:ascii="宋体" w:hAnsi="宋体" w:eastAsia="宋体" w:cs="宋体"/>
          <w:b w:val="0"/>
          <w:bCs/>
          <w:sz w:val="24"/>
          <w:szCs w:val="24"/>
          <w:lang w:val="en-GB"/>
        </w:rPr>
        <w:t>按照风速8-10m/s计算，支</w:t>
      </w:r>
      <w:r>
        <w:rPr>
          <w:rFonts w:hint="eastAsia" w:ascii="宋体" w:hAnsi="宋体" w:eastAsia="宋体" w:cs="宋体"/>
          <w:b w:val="0"/>
          <w:bCs/>
          <w:sz w:val="24"/>
          <w:szCs w:val="24"/>
          <w:lang w:val="en-US" w:eastAsia="zh-CN"/>
        </w:rPr>
        <w:t>管道</w:t>
      </w:r>
      <w:r>
        <w:rPr>
          <w:rFonts w:hint="eastAsia" w:ascii="宋体" w:hAnsi="宋体" w:eastAsia="宋体" w:cs="宋体"/>
          <w:b w:val="0"/>
          <w:bCs/>
          <w:sz w:val="24"/>
          <w:szCs w:val="24"/>
          <w:lang w:val="en-GB"/>
        </w:rPr>
        <w:t>按照风速6-8m/s计算。</w:t>
      </w:r>
    </w:p>
    <w:p>
      <w:pPr>
        <w:spacing w:line="360" w:lineRule="auto"/>
        <w:ind w:firstLine="480" w:firstLineChars="200"/>
        <w:rPr>
          <w:rFonts w:hint="default" w:ascii="宋体" w:hAnsi="宋体" w:eastAsia="宋体" w:cs="宋体"/>
          <w:b w:val="0"/>
          <w:bCs/>
          <w:sz w:val="24"/>
          <w:szCs w:val="24"/>
          <w:lang w:val="en-US"/>
        </w:rPr>
      </w:pPr>
      <w:r>
        <w:rPr>
          <w:rFonts w:hint="eastAsia" w:ascii="宋体" w:hAnsi="宋体" w:eastAsia="宋体" w:cs="宋体"/>
          <w:b w:val="0"/>
          <w:bCs/>
          <w:sz w:val="24"/>
          <w:szCs w:val="24"/>
          <w:lang w:val="en-GB"/>
        </w:rPr>
        <w:t>1.2新风管道</w:t>
      </w:r>
      <w:r>
        <w:rPr>
          <w:rFonts w:hint="eastAsia" w:ascii="宋体" w:hAnsi="宋体" w:eastAsia="宋体" w:cs="宋体"/>
          <w:b w:val="0"/>
          <w:bCs/>
          <w:sz w:val="24"/>
          <w:szCs w:val="24"/>
          <w:lang w:val="en-US" w:eastAsia="zh-CN"/>
        </w:rPr>
        <w:t>材质</w:t>
      </w:r>
      <w:r>
        <w:rPr>
          <w:rFonts w:hint="eastAsia" w:ascii="宋体" w:hAnsi="宋体" w:eastAsia="宋体" w:cs="宋体"/>
          <w:b w:val="0"/>
          <w:bCs/>
          <w:sz w:val="24"/>
          <w:szCs w:val="24"/>
          <w:lang w:val="en-GB"/>
        </w:rPr>
        <w:t>采用镀锌钢板，</w:t>
      </w:r>
      <w:r>
        <w:rPr>
          <w:rFonts w:hint="eastAsia" w:ascii="宋体" w:hAnsi="宋体" w:eastAsia="宋体" w:cs="宋体"/>
          <w:b w:val="0"/>
          <w:bCs/>
          <w:sz w:val="24"/>
          <w:szCs w:val="24"/>
          <w:lang w:val="en-US" w:eastAsia="zh-CN"/>
        </w:rPr>
        <w:t>外部用橡塑保温棉做保温，</w:t>
      </w:r>
      <w:r>
        <w:rPr>
          <w:rFonts w:hint="eastAsia" w:ascii="宋体" w:hAnsi="宋体" w:eastAsia="宋体" w:cs="宋体"/>
          <w:b w:val="0"/>
          <w:bCs/>
          <w:sz w:val="24"/>
          <w:szCs w:val="24"/>
          <w:lang w:val="en-GB"/>
        </w:rPr>
        <w:t>排风管道采用V2级防火PP材质</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其中阻燃试验室排风管道需为</w:t>
      </w:r>
      <w:r>
        <w:rPr>
          <w:rFonts w:hint="eastAsia" w:ascii="宋体" w:hAnsi="宋体" w:eastAsia="宋体" w:cs="宋体"/>
          <w:b w:val="0"/>
          <w:bCs/>
          <w:sz w:val="24"/>
          <w:szCs w:val="24"/>
          <w:lang w:val="en-GB"/>
        </w:rPr>
        <w:t>镀锌钢板制作</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管道厚度要求严格执行JGJ/T 141-2017及GB50243-2016标准。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1.3投标方应熟悉</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工艺流程及尾废形式，系统满足排补风需求，满足</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的正常使用需求。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1.4整个排补风系统管道、阀门、风机、新风机组等设备符合上述规范技术</w:t>
      </w:r>
      <w:r>
        <w:rPr>
          <w:rFonts w:hint="eastAsia" w:ascii="宋体" w:hAnsi="宋体" w:eastAsia="宋体" w:cs="宋体"/>
          <w:b w:val="0"/>
          <w:bCs/>
          <w:sz w:val="24"/>
          <w:szCs w:val="24"/>
          <w:lang w:val="en-US" w:eastAsia="zh-CN"/>
        </w:rPr>
        <w:t>要求</w:t>
      </w:r>
      <w:r>
        <w:rPr>
          <w:rFonts w:hint="eastAsia" w:ascii="宋体" w:hAnsi="宋体" w:eastAsia="宋体" w:cs="宋体"/>
          <w:b w:val="0"/>
          <w:bCs/>
          <w:sz w:val="24"/>
          <w:szCs w:val="24"/>
          <w:lang w:val="en-GB"/>
        </w:rPr>
        <w:t>。</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1.5排风风机和新风机组等产生振动的设备必须采用减震装置。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1.6尾排系统满足大气排放标准及当地环保部门要求。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1.7投标方必须配合试验设备厂商完善试验室排烟系统的深化设计、现场安装等工作。</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1.8排烟管道设计应考虑美观、大方，无特殊情况，避免在试验室厂房外</w:t>
      </w:r>
      <w:r>
        <w:rPr>
          <w:rFonts w:hint="eastAsia" w:ascii="宋体" w:hAnsi="宋体" w:eastAsia="宋体" w:cs="宋体"/>
          <w:b w:val="0"/>
          <w:bCs/>
          <w:sz w:val="24"/>
          <w:szCs w:val="24"/>
          <w:lang w:val="en-US" w:eastAsia="zh-CN"/>
        </w:rPr>
        <w:t>地面</w:t>
      </w:r>
      <w:r>
        <w:rPr>
          <w:rFonts w:hint="eastAsia" w:ascii="宋体" w:hAnsi="宋体" w:eastAsia="宋体" w:cs="宋体"/>
          <w:b w:val="0"/>
          <w:bCs/>
          <w:sz w:val="24"/>
          <w:szCs w:val="24"/>
          <w:lang w:val="en-GB"/>
        </w:rPr>
        <w:t>直接竖立排烟管道。</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程序权限要求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.1投标方必须提供所有设备程序的源代码，包括但不限于PLC程序、HMI程序、机器人程序、视觉程序、伺服、上位机(含SCADA、产线MES等)等，并根据招标方需求，免费提供相对应的参数点址。</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.2投标方所提供的程序不得设置任何密码、保护等限制手段，PLC不得设置修改下载权限，功能块不得设置密码保护。</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.3HMI界面等需要密码保护的程序，投标方必须提供所有级别的用户名、密码。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.4投标方需在设备入场前提供设备程序源码，HMI界面各级用户名和密码，并保证与现场程序一致。</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.5投标方需在终验收前提供最新的设备程序源码和电气图纸，图纸要求为可编辑原格式（EPLAN、CAD格式）且与实际接线一致。</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数采要求</w:t>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lang w:val="en-GB"/>
        </w:rPr>
        <w:t>.1投标方免费开放所有通讯接口，包括但不限于以太网、RS232、RS485、PROFIBUS、PROFINET、MODBUS等常见接口，以及设备特有的专用接口。</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lang w:val="en-GB"/>
        </w:rPr>
        <w:t>.2设备及上位控制系统（工控机）应接入工厂工控网络，用于数据采集。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.3投标方免费提供应用层面系统接口，包括但不限于WebAPI、MQTT、NCLink、OPCUA、OpenProtocol、Socket等，以及第三方接口开发包。</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.4投标方免费提供数据交互功能，交互数据包括但不限于实时数据、历史数据、报警信息等。</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.5设备数据采集在设备上电状态下持续进行，不受设备待机、休眠等状态影响(主动上传设备除外)。</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.6所有上位机程序、专用软件、数据库等提供所有权限的用户名和密码。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.7设备使用周期内，投标方免费派遣技术人员与招标方调试团队共同进行设备通讯接口的调试工作。</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.8投标方在设备入场前提供接口的技术文档和参数说明，包括但不限于接口协议、通讯速率、数据格式等。</w:t>
      </w:r>
    </w:p>
    <w:p>
      <w:pPr>
        <w:pStyle w:val="19"/>
        <w:spacing w:line="360" w:lineRule="auto"/>
        <w:ind w:firstLine="480" w:firstLineChars="200"/>
        <w:rPr>
          <w:rFonts w:hint="eastAsia" w:ascii="宋体" w:hAnsi="宋体" w:eastAsia="宋体" w:cs="宋体"/>
          <w:sz w:val="24"/>
          <w:szCs w:val="28"/>
          <w:lang w:val="en-GB"/>
        </w:rPr>
      </w:pPr>
      <w:r>
        <w:rPr>
          <w:rFonts w:hint="eastAsia" w:ascii="宋体" w:hAnsi="宋体" w:eastAsia="宋体" w:cs="宋体"/>
          <w:sz w:val="24"/>
          <w:szCs w:val="28"/>
          <w:lang w:val="en-GB"/>
        </w:rPr>
        <w:t>1.1</w:t>
      </w:r>
      <w:r>
        <w:rPr>
          <w:rFonts w:hint="eastAsia" w:ascii="宋体" w:hAnsi="宋体" w:eastAsia="宋体" w:cs="宋体"/>
          <w:sz w:val="24"/>
          <w:szCs w:val="28"/>
          <w:lang w:val="en-US" w:eastAsia="zh-CN"/>
        </w:rPr>
        <w:t>1</w:t>
      </w:r>
      <w:r>
        <w:rPr>
          <w:rFonts w:hint="eastAsia" w:ascii="宋体" w:hAnsi="宋体" w:eastAsia="宋体" w:cs="宋体"/>
          <w:sz w:val="24"/>
          <w:szCs w:val="28"/>
          <w:lang w:val="en-GB"/>
        </w:rPr>
        <w:t>所有穿墙管安装完成之后，穿墙口均需做消音处理，保证隔壁房间噪音不因穿墙口漏音而增加。室内所有穿墙孔由投标方负责开孔及封堵。</w:t>
      </w:r>
    </w:p>
    <w:p>
      <w:pPr>
        <w:pStyle w:val="19"/>
        <w:spacing w:line="360" w:lineRule="auto"/>
        <w:ind w:firstLine="480" w:firstLineChars="200"/>
        <w:rPr>
          <w:rFonts w:hint="eastAsia" w:ascii="宋体" w:hAnsi="宋体" w:eastAsia="宋体" w:cs="宋体"/>
          <w:sz w:val="24"/>
          <w:szCs w:val="28"/>
          <w:lang w:val="en-GB"/>
        </w:rPr>
      </w:pPr>
      <w:r>
        <w:rPr>
          <w:rFonts w:hint="eastAsia" w:ascii="宋体" w:hAnsi="宋体" w:eastAsia="宋体" w:cs="宋体"/>
          <w:sz w:val="24"/>
          <w:szCs w:val="28"/>
          <w:lang w:val="en-GB"/>
        </w:rPr>
        <w:t>1.1</w:t>
      </w:r>
      <w:r>
        <w:rPr>
          <w:rFonts w:hint="eastAsia" w:ascii="宋体" w:hAnsi="宋体" w:eastAsia="宋体" w:cs="宋体"/>
          <w:sz w:val="24"/>
          <w:szCs w:val="28"/>
          <w:lang w:val="en-US" w:eastAsia="zh-CN"/>
        </w:rPr>
        <w:t>2</w:t>
      </w:r>
      <w:r>
        <w:rPr>
          <w:rFonts w:hint="eastAsia" w:ascii="宋体" w:hAnsi="宋体" w:eastAsia="宋体" w:cs="宋体"/>
          <w:sz w:val="24"/>
          <w:szCs w:val="28"/>
          <w:lang w:val="en-GB"/>
        </w:rPr>
        <w:t>需带有永久排污检测用的人员上下楼梯、检验平台及标准采样口。厂房屋面至排烟管道检修平台的人员上下楼梯由投标方负责，厂房内至屋面的人员上下楼梯由招标方负责。</w:t>
      </w:r>
      <w:r>
        <w:rPr>
          <w:rFonts w:hint="eastAsia" w:ascii="宋体" w:hAnsi="宋体" w:eastAsia="宋体" w:cs="宋体"/>
          <w:sz w:val="24"/>
          <w:szCs w:val="24"/>
          <w:lang w:val="en-US" w:eastAsia="zh-CN"/>
        </w:rPr>
        <w:t>必须严格执行</w:t>
      </w:r>
      <w:r>
        <w:rPr>
          <w:rFonts w:hint="eastAsia" w:ascii="宋体" w:hAnsi="宋体" w:eastAsia="宋体" w:cs="宋体"/>
          <w:sz w:val="24"/>
          <w:szCs w:val="24"/>
        </w:rPr>
        <w:t>《固定污染源废气监测点位设置技术规范》DB37</w:t>
      </w:r>
      <w:r>
        <w:rPr>
          <w:rFonts w:hint="eastAsia" w:hAnsi="宋体" w:eastAsia="宋体" w:cs="宋体"/>
          <w:sz w:val="24"/>
          <w:szCs w:val="24"/>
          <w:lang w:val="en-US" w:eastAsia="zh-CN"/>
        </w:rPr>
        <w:t>/</w:t>
      </w:r>
      <w:r>
        <w:rPr>
          <w:rFonts w:hint="eastAsia" w:ascii="宋体" w:hAnsi="宋体" w:eastAsia="宋体" w:cs="宋体"/>
          <w:sz w:val="24"/>
          <w:szCs w:val="24"/>
        </w:rPr>
        <w:t>T 3535-201</w:t>
      </w:r>
      <w:r>
        <w:rPr>
          <w:rFonts w:hint="eastAsia" w:ascii="宋体" w:hAnsi="宋体" w:eastAsia="宋体" w:cs="宋体"/>
          <w:sz w:val="24"/>
          <w:szCs w:val="24"/>
          <w:lang w:val="en-US" w:eastAsia="zh-CN"/>
        </w:rPr>
        <w:t>9的相关技术要求</w:t>
      </w:r>
      <w:r>
        <w:rPr>
          <w:rFonts w:hint="eastAsia" w:hAnsi="宋体" w:eastAsia="宋体" w:cs="宋体"/>
          <w:sz w:val="24"/>
          <w:szCs w:val="24"/>
          <w:lang w:val="en-US" w:eastAsia="zh-CN"/>
        </w:rPr>
        <w:t>。</w:t>
      </w:r>
      <w:r>
        <w:rPr>
          <w:rFonts w:hint="eastAsia" w:ascii="宋体" w:hAnsi="宋体" w:eastAsia="宋体" w:cs="宋体"/>
          <w:sz w:val="24"/>
          <w:szCs w:val="28"/>
          <w:lang w:val="en-GB"/>
        </w:rPr>
        <w:t>排烟管道穿墙及楼板孔需进行防护处理，烟囱带防雨帽(罩)、防护网及防雷措施。厂房屋面的开孔、开洞由招标方负责，孔洞防护措施由投标方负责。</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2、排补风控制系统性能要求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2.1保证同一套系统内的通风设备风量均衡。</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w:t>
      </w:r>
      <w:r>
        <w:rPr>
          <w:rFonts w:hint="eastAsia" w:ascii="宋体" w:hAnsi="宋体" w:eastAsia="宋体" w:cs="宋体"/>
          <w:b w:val="0"/>
          <w:bCs/>
          <w:sz w:val="24"/>
          <w:szCs w:val="24"/>
          <w:lang w:val="en-US" w:eastAsia="zh-CN"/>
        </w:rPr>
        <w:t>2</w:t>
      </w:r>
      <w:r>
        <w:rPr>
          <w:rFonts w:hint="eastAsia" w:ascii="宋体" w:hAnsi="宋体" w:eastAsia="宋体" w:cs="宋体"/>
          <w:b w:val="0"/>
          <w:bCs/>
          <w:sz w:val="24"/>
          <w:szCs w:val="24"/>
          <w:lang w:val="en-GB"/>
        </w:rPr>
        <w:t>任何一台通风柜的开启和关闭，其他通风柜的风量波动≤5%。</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2.3每台通风设备可单独控制，不影响其它设备的使用，任何一个可以首先开启，也可以最后关闭。</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2.4风机</w:t>
      </w:r>
      <w:r>
        <w:rPr>
          <w:rFonts w:hint="eastAsia" w:ascii="宋体" w:hAnsi="宋体" w:eastAsia="宋体" w:cs="宋体"/>
          <w:b w:val="0"/>
          <w:bCs/>
          <w:sz w:val="24"/>
          <w:szCs w:val="24"/>
          <w:lang w:val="en-US" w:eastAsia="zh-CN"/>
        </w:rPr>
        <w:t>变频控制，</w:t>
      </w:r>
      <w:r>
        <w:rPr>
          <w:rFonts w:hint="eastAsia" w:ascii="宋体" w:hAnsi="宋体" w:eastAsia="宋体" w:cs="宋体"/>
          <w:b w:val="0"/>
          <w:bCs/>
          <w:sz w:val="24"/>
          <w:szCs w:val="24"/>
          <w:lang w:val="en-GB"/>
        </w:rPr>
        <w:t>排风量随通风设备开启个数的</w:t>
      </w:r>
      <w:r>
        <w:rPr>
          <w:rFonts w:hint="eastAsia" w:ascii="宋体" w:hAnsi="宋体" w:eastAsia="宋体" w:cs="宋体"/>
          <w:b w:val="0"/>
          <w:bCs/>
          <w:sz w:val="24"/>
          <w:szCs w:val="24"/>
          <w:lang w:val="en-US" w:eastAsia="zh-CN"/>
        </w:rPr>
        <w:t>变化而变化</w:t>
      </w:r>
      <w:r>
        <w:rPr>
          <w:rFonts w:hint="eastAsia" w:ascii="宋体" w:hAnsi="宋体" w:eastAsia="宋体" w:cs="宋体"/>
          <w:b w:val="0"/>
          <w:bCs/>
          <w:sz w:val="24"/>
          <w:szCs w:val="24"/>
          <w:lang w:val="en-GB"/>
        </w:rPr>
        <w:t>。无论单台或多台通风设备工作时，能够精确控制风机（转速）排风量与设备总排风量需求相同步，平滑调节。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2.5管道压差传感器测量管道内压力将信号传递给中央控制器。由中央控制器控制变频器进行准确的调整频率来提供系统恰当的风量。</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2.6当自动控制方式出现故障时，可从自动控制切换为手动控制。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2.7通风</w:t>
      </w:r>
      <w:r>
        <w:rPr>
          <w:rFonts w:hint="eastAsia" w:ascii="宋体" w:hAnsi="宋体" w:eastAsia="宋体" w:cs="宋体"/>
          <w:b w:val="0"/>
          <w:bCs/>
          <w:sz w:val="24"/>
          <w:szCs w:val="24"/>
          <w:lang w:val="en-US" w:eastAsia="zh-CN"/>
        </w:rPr>
        <w:t>系统</w:t>
      </w:r>
      <w:r>
        <w:rPr>
          <w:rFonts w:hint="eastAsia" w:ascii="宋体" w:hAnsi="宋体" w:eastAsia="宋体" w:cs="宋体"/>
          <w:b w:val="0"/>
          <w:bCs/>
          <w:sz w:val="24"/>
          <w:szCs w:val="24"/>
          <w:lang w:val="en-GB"/>
        </w:rPr>
        <w:t>全部运行半小时后，</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内的温度无变化，</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内温度（夏季≤26℃、冬季≥22℃）</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2.8</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需要设计新风系统，以保证</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温度、气流平稳,内外压力均衡。</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2.9系统的排风量</w:t>
      </w:r>
      <w:r>
        <w:rPr>
          <w:rFonts w:hint="eastAsia" w:ascii="宋体" w:hAnsi="宋体" w:eastAsia="宋体" w:cs="宋体"/>
          <w:b w:val="0"/>
          <w:bCs/>
          <w:sz w:val="24"/>
          <w:szCs w:val="24"/>
          <w:lang w:val="en-US" w:eastAsia="zh-CN"/>
        </w:rPr>
        <w:t>应</w:t>
      </w:r>
      <w:r>
        <w:rPr>
          <w:rFonts w:hint="eastAsia" w:ascii="宋体" w:hAnsi="宋体" w:eastAsia="宋体" w:cs="宋体"/>
          <w:b w:val="0"/>
          <w:bCs/>
          <w:sz w:val="24"/>
          <w:szCs w:val="24"/>
          <w:lang w:val="en-GB"/>
        </w:rPr>
        <w:t>与系统的新风量相同。</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2.10排风与补风联动控制，维持</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的温度平稳，保证房间合理的压力差；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2.11中央控制器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2.11.1控制原理采用管道定静压方式控制。通过</w:t>
      </w:r>
      <w:r>
        <w:rPr>
          <w:rFonts w:hint="eastAsia" w:ascii="宋体" w:hAnsi="宋体" w:eastAsia="宋体" w:cs="宋体"/>
          <w:b w:val="0"/>
          <w:bCs/>
          <w:sz w:val="24"/>
          <w:szCs w:val="24"/>
          <w:lang w:val="en-US" w:eastAsia="zh-CN"/>
        </w:rPr>
        <w:t>实时</w:t>
      </w:r>
      <w:r>
        <w:rPr>
          <w:rFonts w:hint="eastAsia" w:ascii="宋体" w:hAnsi="宋体" w:eastAsia="宋体" w:cs="宋体"/>
          <w:b w:val="0"/>
          <w:bCs/>
          <w:sz w:val="24"/>
          <w:szCs w:val="24"/>
          <w:lang w:val="en-GB"/>
        </w:rPr>
        <w:t>采集排风管道内的压力值，经过PID控制算法实时调节风机变频器输出频率，调节管道内的压力值，使管道压力保持在设定压力范围内。</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2.11.2系统可以采集系统内所有通风柜及相关通风设备的运行状态及通风量需求，实时调节风机排风量。</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2.11.3系统可以兼容CANBUS及MODBUS</w:t>
      </w:r>
      <w:r>
        <w:rPr>
          <w:rFonts w:hint="eastAsia" w:ascii="宋体" w:hAnsi="宋体" w:eastAsia="宋体" w:cs="宋体"/>
          <w:b w:val="0"/>
          <w:bCs/>
          <w:sz w:val="24"/>
          <w:szCs w:val="24"/>
          <w:lang w:val="en-US" w:eastAsia="zh-CN"/>
        </w:rPr>
        <w:t>等</w:t>
      </w:r>
      <w:r>
        <w:rPr>
          <w:rFonts w:hint="eastAsia" w:ascii="宋体" w:hAnsi="宋体" w:eastAsia="宋体" w:cs="宋体"/>
          <w:b w:val="0"/>
          <w:bCs/>
          <w:sz w:val="24"/>
          <w:szCs w:val="24"/>
          <w:lang w:val="en-GB"/>
        </w:rPr>
        <w:t>通讯协议，实时采集系统内的相关通风设备的运行状态及工作参数；并可实现与相关厂家产品的兼容互控功能等。</w:t>
      </w: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GB"/>
        </w:rPr>
        <w:t>2.11.4系统采用触摸屏设计人机交互界面。可以实时显示系统的运行状态、输出频率、管道实时压力值等关键工作参数；可以显示各种故障报警提示，并可以通过人机界面现场更改相关参数，满足客户不同的应用需求。</w:t>
      </w:r>
      <w:r>
        <w:rPr>
          <w:rFonts w:hint="eastAsia" w:ascii="宋体" w:hAnsi="宋体" w:eastAsia="宋体" w:cs="宋体"/>
          <w:b w:val="0"/>
          <w:bCs/>
          <w:sz w:val="24"/>
          <w:szCs w:val="24"/>
          <w:lang w:val="en-US" w:eastAsia="zh-CN"/>
        </w:rPr>
        <w:t>触摸屏位置由招标方后续指定。</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2.11.5系统预留多个输入输出端口，可实现尾气处理等相关设备的联动控制。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2.11.6系统可以实现微排风功能。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2.11.7系统可以实现定时开机及定时关机功能。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2.11.8废气处理设备与风机启停联动，设有过载保护并可以检测PH值、压差传感器，监测设备的运行状态。并具有监测报警系统：当压力损耗高于设定值或设备出现故障时，能实现就地报警和远程报警。</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3、通风</w:t>
      </w:r>
      <w:r>
        <w:rPr>
          <w:rFonts w:hint="eastAsia" w:ascii="宋体" w:hAnsi="宋体" w:eastAsia="宋体" w:cs="宋体"/>
          <w:b w:val="0"/>
          <w:bCs/>
          <w:sz w:val="24"/>
          <w:szCs w:val="24"/>
          <w:lang w:val="en-US" w:eastAsia="zh-CN"/>
        </w:rPr>
        <w:t>柜</w:t>
      </w:r>
      <w:r>
        <w:rPr>
          <w:rFonts w:hint="eastAsia" w:ascii="宋体" w:hAnsi="宋体" w:eastAsia="宋体" w:cs="宋体"/>
          <w:b w:val="0"/>
          <w:bCs/>
          <w:sz w:val="24"/>
          <w:szCs w:val="24"/>
          <w:lang w:val="en-GB"/>
        </w:rPr>
        <w:t>控制器技术要求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3.1采用5寸24位真彩触摸屏；</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3.2通讯状态显示功能；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3.3显示当前系统开启设备数量功能；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3.4显示风机运行状态；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3.5操控视窗升降功能；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3.6数据上传功能；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3.7熄屏功能，在通风柜不操作的状态下，持续一段时间后自动熄灭屏幕，再次触摸屏幕任意位置屏幕点亮。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4、文丘里阀技术要求</w:t>
      </w:r>
    </w:p>
    <w:p>
      <w:pPr>
        <w:spacing w:line="360" w:lineRule="auto"/>
        <w:ind w:firstLine="480" w:firstLineChars="200"/>
        <w:rPr>
          <w:rFonts w:hint="default" w:ascii="宋体" w:hAnsi="宋体" w:eastAsia="宋体" w:cs="宋体"/>
          <w:b w:val="0"/>
          <w:bCs/>
          <w:sz w:val="24"/>
          <w:szCs w:val="24"/>
        </w:rPr>
      </w:pPr>
      <w:r>
        <w:rPr>
          <w:rFonts w:hint="eastAsia" w:ascii="宋体" w:hAnsi="宋体" w:eastAsia="宋体" w:cs="宋体"/>
          <w:b w:val="0"/>
          <w:bCs/>
          <w:sz w:val="24"/>
          <w:szCs w:val="24"/>
          <w:lang w:val="en-GB"/>
        </w:rPr>
        <w:t>4.1执行器品牌：瑞士Belimo、德国Siemens、德国Gruner</w:t>
      </w:r>
      <w:r>
        <w:rPr>
          <w:rFonts w:hint="eastAsia" w:ascii="宋体" w:hAnsi="宋体" w:eastAsia="宋体" w:cs="宋体"/>
          <w:b w:val="0"/>
          <w:bCs/>
          <w:sz w:val="24"/>
          <w:szCs w:val="24"/>
          <w:lang w:val="en-US" w:eastAsia="zh-CN"/>
        </w:rPr>
        <w:t>或同等规格产品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4.2阀体材质：ABS材质，具有良好的防腐性，可以抵御</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腐蚀性气体腐蚀；</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4.3管道压差范围在150Pa到750Pa之间具备压力无关特性，免调试；</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4.4风量控制精度：&lt;±2%；</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4.5响应速度：调节时间＜1s；</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4.6阀门驱动方式：电动；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4.7调节功能：风量调节：0-1500m³/h（风阀可完全关闭，调节风量到零）；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5、变风量阀技术要求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5.1执行器品牌：瑞士Belimo、德国Siemens、德国Gruner</w:t>
      </w:r>
      <w:r>
        <w:rPr>
          <w:rFonts w:hint="eastAsia" w:ascii="宋体" w:hAnsi="宋体" w:eastAsia="宋体" w:cs="宋体"/>
          <w:b w:val="0"/>
          <w:bCs/>
          <w:sz w:val="24"/>
          <w:szCs w:val="24"/>
          <w:lang w:val="en-US" w:eastAsia="zh-CN"/>
        </w:rPr>
        <w:t>或同等规格产品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5.2</w:t>
      </w:r>
      <w:r>
        <w:rPr>
          <w:rFonts w:hint="eastAsia" w:ascii="宋体" w:hAnsi="宋体" w:eastAsia="宋体" w:cs="宋体"/>
          <w:b w:val="0"/>
          <w:bCs/>
          <w:sz w:val="24"/>
          <w:szCs w:val="24"/>
          <w:lang w:val="en-US" w:eastAsia="zh-CN"/>
        </w:rPr>
        <w:t>阀体材质</w:t>
      </w:r>
      <w:r>
        <w:rPr>
          <w:rFonts w:hint="eastAsia" w:ascii="宋体" w:hAnsi="宋体" w:eastAsia="宋体" w:cs="宋体"/>
          <w:b w:val="0"/>
          <w:bCs/>
          <w:sz w:val="24"/>
          <w:szCs w:val="24"/>
          <w:lang w:val="en-GB"/>
        </w:rPr>
        <w:t>：ABS材质</w:t>
      </w:r>
      <w:r>
        <w:rPr>
          <w:rFonts w:hint="eastAsia" w:ascii="宋体" w:hAnsi="宋体" w:eastAsia="宋体" w:cs="宋体"/>
          <w:b w:val="0"/>
          <w:bCs/>
          <w:sz w:val="24"/>
          <w:szCs w:val="24"/>
          <w:lang w:val="en-GB" w:eastAsia="zh-CN"/>
        </w:rPr>
        <w:t>；</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5.3功能：接收通风柜监视器发出的指令，调节阀体开度，保证精准的排风量；</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5.4具有良好的防腐性，可以抵御</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腐蚀性气体腐蚀；</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5.5变风量响应速度：调节时间&lt;2.5s；</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5.6阀门驱动方式：电动；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5.7反馈信号：提供实时反馈信号；</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5.8安装位置：环境排风设备上方排风管道上。</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6、管道压差传感器技术要求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6.1品牌：美国Dwyer、德国Siemens、美国Honeywell</w:t>
      </w:r>
      <w:r>
        <w:rPr>
          <w:rFonts w:hint="eastAsia" w:ascii="宋体" w:hAnsi="宋体" w:eastAsia="宋体" w:cs="宋体"/>
          <w:b w:val="0"/>
          <w:bCs/>
          <w:sz w:val="24"/>
          <w:szCs w:val="24"/>
          <w:lang w:val="en-US" w:eastAsia="zh-CN"/>
        </w:rPr>
        <w:t>或同等规格产品</w:t>
      </w:r>
      <w:r>
        <w:rPr>
          <w:rFonts w:hint="eastAsia" w:ascii="宋体" w:hAnsi="宋体" w:eastAsia="宋体" w:cs="宋体"/>
          <w:b w:val="0"/>
          <w:bCs/>
          <w:sz w:val="24"/>
          <w:szCs w:val="24"/>
          <w:lang w:val="en-GB"/>
        </w:rPr>
        <w:t>（需</w:t>
      </w:r>
      <w:r>
        <w:rPr>
          <w:rFonts w:hint="eastAsia" w:ascii="宋体" w:hAnsi="宋体" w:eastAsia="宋体" w:cs="宋体"/>
          <w:b w:val="0"/>
          <w:bCs/>
          <w:sz w:val="24"/>
          <w:szCs w:val="24"/>
          <w:lang w:val="en-US" w:eastAsia="zh-CN"/>
        </w:rPr>
        <w:t>提供</w:t>
      </w:r>
      <w:r>
        <w:rPr>
          <w:rFonts w:hint="eastAsia" w:ascii="宋体" w:hAnsi="宋体" w:eastAsia="宋体" w:cs="宋体"/>
          <w:b w:val="0"/>
          <w:bCs/>
          <w:sz w:val="24"/>
          <w:szCs w:val="24"/>
          <w:lang w:val="en-GB"/>
        </w:rPr>
        <w:t>授权证书）</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6.2介质：空气，兼容性气体；</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6.3稳定性: ±1%F.S./每年；</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6.4温度范围: -18-66℃；</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6.5压力范围：最大工作压力1 psi</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持续冲击压力：10 psi；</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6.6防护：NEMA 4X(IP66)；</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6.7安装：垂直方向安装。</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7、排风风机技术要求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排风风机采用玻璃钢离心风机，外壳及叶轮材质：FRP耐酸碱VinylEster(乙烯基脂树脂+无碱玻璃纤维)制作，机壳连接螺栓采用与废气无接触外接式固定，风机采用双底座减震处理措施。参数满足如下要求，其他技术参数参见施工图纸。</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7.1.1风机叶轮为悬臂闭式后倾离心式结构；</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7.1.2轴封：采用填料（机油毡）填充式轴封；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7.1.3传动方式：皮带传动或直联式传动；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7.1.4外壳及叶轮材质：FRP耐酸碱VinylEster(乙烯基脂树脂+无碱玻璃纤维)制作，</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7.1.5风机支架采用机架材质：钢材焊接经过抛丸除锈后喷户外防腐粉经过208度高温烤漆制作，实现5年以上表面不生锈。</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7.1.6轴心材质：45#钢后防腐密封处理；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7.1.7所有紧固件或螺丝与废气分离防止腐蚀，外部裸漏部分需采用帽套结构；</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7.1.8皮带：优质高张力型皮带，品牌参考：三星或国产同等质量</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使用寿命一万小时以上（</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此配件）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7.1.9皮带轮：美式含锥套免敲击拆装式（</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此配件）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7.1.10传动箱轴承选用参考：NSK、SKF</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人本轴承</w:t>
      </w:r>
      <w:r>
        <w:rPr>
          <w:rFonts w:hint="eastAsia" w:ascii="宋体" w:hAnsi="宋体" w:eastAsia="宋体" w:cs="宋体"/>
          <w:b w:val="0"/>
          <w:bCs/>
          <w:sz w:val="24"/>
          <w:szCs w:val="24"/>
          <w:lang w:val="en-US" w:eastAsia="zh-CN"/>
        </w:rPr>
        <w:t>或同等规格产片</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使用寿命十万小时以上（</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此配件）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7.1.11轴承座：机油冷却式</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可选用油品标号“15#-40#”（</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 xml:space="preserve">此配件）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7.1.12配套电机：电机功率≥7.5kW，必须选用一级能效。电机功率＜7.5kW，优先选用一级能效。杜绝选用三级及以下能效</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IP55、F级绝缘、B级温升考核；</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7.1.13风机底部配置减振台及排水清理装置（PVC排水孔）；风机的转子要便于检查清理；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7.2风机性能要求：必须提供第三方国家认可</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检测报告（报告需要带CMA及CNAS认证标志）</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检测要求如下：</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检测依据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GB/T 1236-2017 《工业通风机 用标准化风道性能试验》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GB/T 2888-2008 《风机和罗茨鼓风机噪声测量方法》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8689-2014 《通风机振动检测及其限值》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10563-2006 《一般用途离心通风机技术条件》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6445-2017 《通风机叶轮超速试验》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9101-2014 《通风机转子平衡》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判定依据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8689-2014 《通风机振动检测及其限值》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10563-2006 《一般用途离心通风机技术条件》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8690-2014 《通风机 噪声限值》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6445-2017 《通风机叶轮超速试验》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9101-2014 《通风机转子平衡》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7.2.1按GB/T 1236-2017 《工业通风机 用标准化风道性能试验》在规定测试下所对应的流量全压偏差为±5%；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7.2.2按JB/T 8689-2014 规定应进行30min机械运转试验 转动件应无擦碰等异常现象振动速度有效值mm/s≤4.6；</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7.2.3按JB/T 9101-2014 《通风机转子平衡》规定进行动平衡品质等级 G ≤2.5级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7.2.4按GB/T 2888-2008 规定测试噪声(比 A 声级)dB≤27；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7.2.5按JB/T 6445-2017《通风机叶轮超速试验》规定进行叶轮超速试验：</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7.2.5.1叶轮在规定最高工作转速的150%转速下运转，持续时间不少于2min，试验结果应符合以下规定：a)焊缝、轮盘、轮盖、轮毂等不得有裂纹，铆钉不得有松动或有裂纹；b)叶轮直径的尺寸变形量≤ 0.5/1000; c) 叶轮外径处叶片安装角不得超过图样的规定；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7.2.5.2符合以上要求后，叶轮在规定最高工作转速的150%转速下运行，持续时间不少于24h，试验结果应符合焊缝、轮盘、轮盖、轮毂等不得有裂纹，铆钉不得有松动或有裂纹；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7.2.6外观质量风机表面光滑，不得有气泡、裂缝及厚度不均缺陷，涂层均匀、无剥落、划伤 等缺陷，轴承部位不得漏油，焊接处应平整、无气孔、裂纹等缺陷，风机内外表面必须清洁，产品铭牌安装平整、牢固；</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7.2.7按JB/T 10563-2006《一般用途离心通风机技术条件》规定装配要求：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7.2.7.2叶轮叶片应均匀分布，任意两相邻叶片间的最大弦长偏差应不大于3mm</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7.2.7.2叶轮和机壳的径向间隙应均匀。</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7.3产品认证要求及制造商具备资质要求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7.3.1通过AMCA认证，中国CQC节能产品认证、产品通过中国环境标志认证；具备依据GB19761-2020的标准达到一级能效检验报告（带CMA及CNAS认证标志）并国家能效网备案附上能效标识查验；</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7.3.2具备安全生产许可证；ISO9001:2015质量管理体系认证证书；ISO14001:2015环境管理体系认证证书；ISO45001:2018职业健康安全管理体系认证证书；</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7.3.3风机依据JBT/T9536-2013通过防腐等级WFI认证，提供第三方检测报告及防腐等级认证证书；</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7.3.4气体成分易燃易爆的需提供整机防爆检测报告依GB/T3836.1-2021,GB/T3836.2-2021.符合CNCA-C23-01:2019《强制性产品认证实施规则 防爆电气》和CNEX-C2301:2019《强制性产品认证实施规则 防爆电气》的要求，防爆等级为EX db IIC T4 Gb并取得CCC中国国家强制性产品认证证书.（单独提供防爆合格证或者电机防爆证明无效）；</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7.3.5风机的机械安全装置护罩符合国际标准化ISO 12499：1999规定各项安全要求（采用国际标准产品）；风机产品通过CE认证，并提供认证证书；</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7.3.6制造商提供国家工信和信息化部售后服务五星级能力评价证书，参照GB/T27922-2011《商品售后服务评价体系》及相关规定要求。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8、变频器技术要求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8.1品牌：ABB、西门子、艾默生</w:t>
      </w:r>
      <w:r>
        <w:rPr>
          <w:rFonts w:hint="eastAsia" w:ascii="宋体" w:hAnsi="宋体" w:eastAsia="宋体" w:cs="宋体"/>
          <w:b w:val="0"/>
          <w:bCs/>
          <w:sz w:val="24"/>
          <w:szCs w:val="24"/>
          <w:lang w:val="en-US" w:eastAsia="zh-CN"/>
        </w:rPr>
        <w:t>或同等规格产品</w:t>
      </w:r>
      <w:r>
        <w:rPr>
          <w:rFonts w:hint="eastAsia" w:ascii="宋体" w:hAnsi="宋体" w:eastAsia="宋体" w:cs="宋体"/>
          <w:b w:val="0"/>
          <w:bCs/>
          <w:sz w:val="24"/>
          <w:szCs w:val="24"/>
          <w:lang w:val="en-GB"/>
        </w:rPr>
        <w:t>（需</w:t>
      </w:r>
      <w:r>
        <w:rPr>
          <w:rFonts w:hint="eastAsia" w:ascii="宋体" w:hAnsi="宋体" w:eastAsia="宋体" w:cs="宋体"/>
          <w:b w:val="0"/>
          <w:bCs/>
          <w:sz w:val="24"/>
          <w:szCs w:val="24"/>
          <w:lang w:val="en-US" w:eastAsia="zh-CN"/>
        </w:rPr>
        <w:t>提供相应</w:t>
      </w:r>
      <w:r>
        <w:rPr>
          <w:rFonts w:hint="eastAsia" w:ascii="宋体" w:hAnsi="宋体" w:eastAsia="宋体" w:cs="宋体"/>
          <w:b w:val="0"/>
          <w:bCs/>
          <w:sz w:val="24"/>
          <w:szCs w:val="24"/>
          <w:lang w:val="en-GB"/>
        </w:rPr>
        <w:t>授权证书）</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8.2电源：三相380-480V±10%；频率：48-63Hz；功率因数：约0.98；输入信号</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电压0～10 V或电流0～20 mA；需配有操作显示面板，带滤波器。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9、防火阀技术要求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9.1功能：火灾发生时，当气流温度达到70℃时，阀门迅速关闭。</w:t>
      </w: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GB"/>
        </w:rPr>
        <w:t>9.2安装位置：</w:t>
      </w:r>
      <w:r>
        <w:rPr>
          <w:rFonts w:hint="eastAsia" w:ascii="宋体" w:hAnsi="宋体" w:eastAsia="宋体" w:cs="宋体"/>
          <w:b w:val="0"/>
          <w:bCs/>
          <w:sz w:val="24"/>
          <w:szCs w:val="24"/>
          <w:lang w:val="en-US" w:eastAsia="zh-CN"/>
        </w:rPr>
        <w:t>区域内各试验间支路管道汇总点后</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10、控制柜技术要求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10.1柜体用冷轧钢板制作，柜体表面折角处不能有皱纹、裂纹、毛刺、焊接等痕迹，表面平整度在1平方米面积内凹凸不能超过1mm。门与门框的缝隙不超过1.5m，符合低压控制柜有关制造标准；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10.2开关元件、器件：开关元件、器件选用正泰或德力西产品，指示灯、按钮的颜色符合GB/T4025要求；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10.3接线端子箱及模块箱需预留不少于30%的安装空间，便于以后扩展；</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10.4柜体按照标准低压控制柜尺寸加工，集中安放在</w:t>
      </w:r>
      <w:r>
        <w:rPr>
          <w:rFonts w:hint="eastAsia" w:ascii="宋体" w:hAnsi="宋体" w:eastAsia="宋体" w:cs="宋体"/>
          <w:b w:val="0"/>
          <w:bCs/>
          <w:sz w:val="24"/>
          <w:szCs w:val="24"/>
          <w:lang w:val="en-US" w:eastAsia="zh-CN"/>
        </w:rPr>
        <w:t>招标方</w:t>
      </w:r>
      <w:r>
        <w:rPr>
          <w:rFonts w:hint="eastAsia" w:ascii="宋体" w:hAnsi="宋体" w:eastAsia="宋体" w:cs="宋体"/>
          <w:b w:val="0"/>
          <w:bCs/>
          <w:sz w:val="24"/>
          <w:szCs w:val="24"/>
          <w:lang w:val="en-GB"/>
        </w:rPr>
        <w:t>指定的配电室内；</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10.5防护等级IP54。</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11、风阀电控箱技术要求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11.1额定工作电压：交流220V；</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11.2额定频率：50HZ；</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11.3蝶阀控制接口不少于1路；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11.4</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GB"/>
        </w:rPr>
        <w:t>CAN总线通讯接口不少于2路；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11.5</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GB"/>
        </w:rPr>
        <w:t>MODBUS通讯接口不少于1路；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11.6</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GB"/>
        </w:rPr>
        <w:t>0-20mA输入接口不少于2路；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11.7</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GB"/>
        </w:rPr>
        <w:t>IO输入接口不少于6路；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11.8干接点输出接口不少于4路；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11.9交流220V输出接口不少于2路；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11.10直流5V低压输出接口不少于1路；</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12、新风机组技术要求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12.1性能要求：机组以功能段为组合单元，混合段、初效过滤段、加热/制冷段、风机段等多种功能段。</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12.2箱体框架要求：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12.2.1框架应有足够的强度，以免在运输和运行中产生永久变形。</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12.2.2框架应采用型材喷涂(或其它招标方可接受的材料)制成。</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12.2.3框架应采用标准模数化尺寸。</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12.2.4各功能段组装后，框架内表面(非镀锌框架应先涂一层高级底漆)采用阻燃型或非燃型保温材料保温，其最大导热系数应小于0.035W/m·℃。</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12.2.5非镀锌框架外表面经磷化处理后，喷涂环氧、聚酯粉末涂料，经喷涂加工后应具有良好的耐腐、耐热、耐盐雾性能。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12.2.6各功能段框架采用具有衬垫的螺栓连接。所有衬垫和螺栓等连接件在出厂前应做镀锌处理。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12.2.7框架上应有起吊吊耳或其它可行的起吊措施。</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12.2.8框架构件的焊接均应在构件内部。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12.3箱体面板要求：</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12.3.1箱体采用迷宫式结构。将普通空调箱的框架与保温面板融为一体，通过50kg/m³的高压聚氨酯发泡形成整体，面板与面板之间以榫头结构连接，内部设有暗藏方钢内框架，使箱体在组装后的每个拼接处都形成内外两道加强；</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12.3.2 在双层面板的中间夹以阻燃型或非燃型保温材料，保温材料最大导热系数应小于0.035W/m·℃。保温层与面板应结合牢固、平整、无间隙。经保温处理后应保证外壁不产生结露现象。外板为彩钢板，内面板可根据产品用途不同采用彩钢板、不锈钢板或其他材料。</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12.3.3在机组最大静压下，面板应能持久保持平整、不变形。</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12.3.4底层面板的强度应满足检修人员进入而不破坏保温材料。</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12.3.5操作侧的全部面板均应可拆卸，以便于检修。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12.3.6机组的就地操作开关、显示仪表都在室外机的电控箱上。</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12.4压缩冷凝段</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12.4.1压缩机：压缩机应采用全封闭涡旋式制冷压缩机或半封闭喷油螺杆式制冷压缩机，压缩机应能进行灵活、可靠的负荷调节，其制冷量的调节范围为0%～100%。</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12.4.2压缩机润滑油系统</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12.4.2.1压缩机应配置完整的工厂安装强制润滑油系统，以便在机组启动和运行及停止期间对所有运转部件润滑及喷油密封。</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12.4.2.2润滑油系统应包括冷媒压差油泵、油压调节器、油冷却器、油槽加热器、油槽、油过滤器、高效油分离器、油管及其它控制装置。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12.4.2.3 应提供与压缩机相适应的油槽，油槽包括油位视镜、温度测试孔、温度计、注油阀及排油装置。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12.4.2.4 油槽内应设有恒温控制的油加热器。油加热器应足以维持压缩机停止期间一定的油温及启动时间油温不低于25℃。</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12.4.2.5 应提供可更换的油过滤器，并提供隔离阀，以便在不损失油及污染润滑油系统及制冷系统的前提下更换过滤器。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12.4.2.6 投标方应提供油泵启动器，油加热温度控制器及开关，润滑油系统必要的管路附件以及所有的控制和动力回路接线。</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12.4.2.7润滑油系统应提供一定的油压，以便在压缩机启动前及一旦失电的情况下足以保护所有轴承。</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 风冷冷凝器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12.4.3.1冷凝器包括冷凝器盘管、冷凝风机、风机电动机及其附件。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12.4.3.2 冷凝盘管应采用铝（铜）翅片机械缠绕于无缝铜管上。盘管结构应符合投标方国家标准。</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12.4.3.3 冷凝器包括两个既可独立又可同时使用的制冷剂回路，包括排气管路及供液管路。其中供液管路包括带截止阀的制冷剂充注口、制冷剂含水指示器以及能在最高压力下工作的热力膨胀阀、电磁阀和筒型干燥过滤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12.4.3.4冷凝器盘管安装完毕后应进行气压试验和水压试验，其试验压力分别为1.2MPa和3.0MPa。</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12.4.3.5冷凝器的容量应能容纳制冷剂的全部充注量。</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12.4.3.6冷凝器冷却系统由多台风机组成。并根据室外温度和制冷负荷的变化控制风机停止和运行的台数。</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12.4.3.7冷凝风机应为直接传动垂直安装式轴流风机。风机容量应与机组的制冷量  相对应。</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12.4.4制冷剂管路系统</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12.4.4.1机组应配置由工厂配套安装的机组内部所有部件之间的冷剂管道（包括室内机与室外机之间的管材及其配部件，保温材料等）。</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12.4.4.2每台压缩机应有各自独立的R22制冷剂管路系统。</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12.4.4.3每套制冷剂管路系统应包括但不限于下列部件：</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（1）热力膨胀阀；（2）制冷剂分配器；（3）低压切断开关；（4）高压切断开关</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（5）可拆卸的液体管道干燥器；（6）液体管道观察窗；（7）吸气过热器；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12.4.4.4系统中所有需维修或可拆卸的部件均采用扩口接头。</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12.4.4.5系统管道连接完成后，经过1.24MPa干燥氮气的耐压试验和R22制冷剂的检漏试验。</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12.5送（回）风段</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12.5.1风机应为离心式、单罩壳、单叶轮、双进风、非过载型风机。</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12.5.2风机叶轮应为后弯型单厚度叶片，风机轴采用实心冷轧钢。风机叶轮、轴需在制造厂内进行静平衡和动平衡试验，并提供试验报告。</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12.5.3风机轴承应为滚珠或滚柱轴承。轴承的最短寿命应为15年。轴承润滑剂应能至少维持12个月运行周期而不需检修。润滑剂和密封的预防性维修时间表应在维修手册内提供。</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12.5.4风机罩壳及框架应采用镀锌钢板制成。</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12.5.5风机的风量、风压应能满足所规定的参数。</w:t>
      </w:r>
      <w:r>
        <w:rPr>
          <w:rFonts w:hint="eastAsia" w:ascii="宋体" w:hAnsi="宋体" w:eastAsia="宋体" w:cs="宋体"/>
          <w:b w:val="0"/>
          <w:bCs/>
          <w:sz w:val="24"/>
          <w:szCs w:val="24"/>
          <w:lang w:val="en-US" w:eastAsia="zh-CN"/>
        </w:rPr>
        <w:t>能效等级要求同前文所述</w:t>
      </w:r>
      <w:r>
        <w:rPr>
          <w:rFonts w:hint="eastAsia" w:ascii="宋体" w:hAnsi="宋体" w:eastAsia="宋体" w:cs="宋体"/>
          <w:b w:val="0"/>
          <w:bCs/>
          <w:sz w:val="24"/>
          <w:szCs w:val="24"/>
          <w:lang w:val="en-GB"/>
        </w:rPr>
        <w:t>，适用范围广，超低噪声轴承无需加油维护，机组可更长久可靠的运行，风机叶轮均经动态、静态平衡校验，风机主要性能均按国家标准测试，风机都通过AMCA认证。</w:t>
      </w:r>
    </w:p>
    <w:p>
      <w:pPr>
        <w:spacing w:line="360" w:lineRule="auto"/>
        <w:ind w:firstLine="480" w:firstLineChars="200"/>
        <w:rPr>
          <w:rFonts w:hint="default" w:ascii="宋体" w:hAnsi="宋体" w:eastAsia="宋体" w:cs="宋体"/>
          <w:b w:val="0"/>
          <w:bCs/>
          <w:sz w:val="24"/>
          <w:szCs w:val="24"/>
        </w:rPr>
      </w:pPr>
      <w:r>
        <w:rPr>
          <w:rFonts w:hint="eastAsia" w:ascii="宋体" w:hAnsi="宋体" w:eastAsia="宋体" w:cs="宋体"/>
          <w:b w:val="0"/>
          <w:bCs/>
          <w:sz w:val="24"/>
          <w:szCs w:val="24"/>
          <w:lang w:val="en-GB"/>
        </w:rPr>
        <w:t>12.5.6风机参考按科禄格、亿利达品牌</w:t>
      </w:r>
      <w:r>
        <w:rPr>
          <w:rFonts w:hint="eastAsia" w:ascii="宋体" w:hAnsi="宋体" w:eastAsia="宋体" w:cs="宋体"/>
          <w:b w:val="0"/>
          <w:bCs/>
          <w:sz w:val="24"/>
          <w:szCs w:val="24"/>
          <w:lang w:val="en-US" w:eastAsia="zh-CN"/>
        </w:rPr>
        <w:t>或同等规格品牌。</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13、管道技术要求</w:t>
      </w: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GB"/>
        </w:rPr>
        <w:t>13.1排风风管：材质PP,阻燃等级V2级。</w:t>
      </w:r>
      <w:r>
        <w:rPr>
          <w:rFonts w:hint="eastAsia" w:ascii="宋体" w:hAnsi="宋体" w:eastAsia="宋体" w:cs="宋体"/>
          <w:b w:val="0"/>
          <w:bCs/>
          <w:sz w:val="24"/>
          <w:szCs w:val="24"/>
          <w:lang w:val="en-US" w:eastAsia="zh-CN"/>
        </w:rPr>
        <w:t>阻燃试验室排风管道用镀锌钢板材质。</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13.2</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GB"/>
        </w:rPr>
        <w:t>PP方形风管由PP板材焊接而成，板材厚度根据管道大小而定，宽边大于600的风管需增加支撑，防止管道内负压时变瘪。</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13.3圆形管道采用成型的PP管。</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13.4方管板材厚度高于标准规范要求。</w:t>
      </w:r>
    </w:p>
    <w:p>
      <w:pPr>
        <w:numPr>
          <w:ilvl w:val="0"/>
          <w:numId w:val="13"/>
        </w:num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GB"/>
        </w:rPr>
        <w:t>尾气处理</w:t>
      </w:r>
      <w:r>
        <w:rPr>
          <w:rFonts w:hint="eastAsia" w:ascii="宋体" w:hAnsi="宋体" w:eastAsia="宋体" w:cs="宋体"/>
          <w:b w:val="0"/>
          <w:bCs/>
          <w:sz w:val="24"/>
          <w:szCs w:val="24"/>
          <w:lang w:val="en-US" w:eastAsia="zh-CN"/>
        </w:rPr>
        <w:t>装置要求（活性炭及SDG吸附装置）</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14.1.材质：整体8mmPP（A板）板材质，数控雕刻，折弯碰焊成型。焊缝均匀</w:t>
      </w:r>
      <w:r>
        <w:rPr>
          <w:rFonts w:hint="eastAsia" w:ascii="宋体" w:hAnsi="宋体" w:eastAsia="宋体" w:cs="宋体"/>
          <w:b w:val="0"/>
          <w:bCs/>
          <w:sz w:val="24"/>
          <w:szCs w:val="24"/>
          <w:lang w:val="en-US" w:eastAsia="zh-CN"/>
        </w:rPr>
        <w:t>光滑</w:t>
      </w:r>
      <w:r>
        <w:rPr>
          <w:rFonts w:hint="eastAsia" w:ascii="宋体" w:hAnsi="宋体" w:eastAsia="宋体" w:cs="宋体"/>
          <w:b w:val="0"/>
          <w:bCs/>
          <w:sz w:val="24"/>
          <w:szCs w:val="24"/>
          <w:lang w:val="en-GB"/>
        </w:rPr>
        <w:t>美观，密封防雨。合理设计</w:t>
      </w:r>
      <w:r>
        <w:rPr>
          <w:rFonts w:hint="eastAsia" w:ascii="宋体" w:hAnsi="宋体" w:eastAsia="宋体" w:cs="宋体"/>
          <w:b w:val="0"/>
          <w:bCs/>
          <w:sz w:val="24"/>
          <w:szCs w:val="24"/>
          <w:lang w:val="en-US" w:eastAsia="zh-CN"/>
        </w:rPr>
        <w:t>箱体</w:t>
      </w:r>
      <w:r>
        <w:rPr>
          <w:rFonts w:hint="eastAsia" w:ascii="宋体" w:hAnsi="宋体" w:eastAsia="宋体" w:cs="宋体"/>
          <w:b w:val="0"/>
          <w:bCs/>
          <w:sz w:val="24"/>
          <w:szCs w:val="24"/>
          <w:lang w:val="en-GB"/>
        </w:rPr>
        <w:t>内废气流通方向</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保证废气全部均匀通过活性炭层</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，达到设计吸收速率。</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14.2.碳层</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 xml:space="preserve">采用平铺方式，厚度均匀且不会在使用过程中因风吹造成漏气情况。保证吸收率的情况下压损控制在300pa以内。                  </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14.3.结构：双层抽屉式装碳</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，U型PP槽做滑轨，承重100kg以上。抽屉设置拉手。箱外抽屉盖板做防雨条，与箱体法兰连接，用PP螺丝固定，便于更换维修。</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GB"/>
        </w:rPr>
        <w:t>14.4.颗粒活性炭</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（提供检测报告），每层厚度不少于100mm，用304不锈钢网或pp丝网覆盖防止散乱。进出口变径及中心高度根据管道定制。</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15、通风</w:t>
      </w:r>
      <w:r>
        <w:rPr>
          <w:rFonts w:hint="eastAsia" w:ascii="宋体" w:hAnsi="宋体" w:eastAsia="宋体" w:cs="宋体"/>
          <w:b w:val="0"/>
          <w:bCs/>
          <w:sz w:val="24"/>
          <w:szCs w:val="24"/>
          <w:lang w:val="en-US" w:eastAsia="zh-CN"/>
        </w:rPr>
        <w:t>柜（橱）</w:t>
      </w:r>
      <w:r>
        <w:rPr>
          <w:rFonts w:hint="default" w:ascii="宋体" w:hAnsi="宋体" w:eastAsia="宋体" w:cs="宋体"/>
          <w:b w:val="0"/>
          <w:bCs/>
          <w:sz w:val="24"/>
          <w:szCs w:val="24"/>
        </w:rPr>
        <w:t>技术要求</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15.1技术性能</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15.1.1单台通风柜风量300m³-500m³/h；</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15.1.2采用风幕式通风柜；</w:t>
      </w:r>
    </w:p>
    <w:p>
      <w:pPr>
        <w:adjustRightInd w:val="0"/>
        <w:spacing w:line="360" w:lineRule="auto"/>
        <w:ind w:firstLine="480" w:firstLineChars="200"/>
        <w:rPr>
          <w:rFonts w:hint="eastAsia" w:ascii="宋体" w:hAnsi="宋体" w:eastAsia="宋体" w:cs="宋体"/>
          <w:b w:val="0"/>
          <w:bCs/>
          <w:sz w:val="24"/>
          <w:szCs w:val="24"/>
          <w:lang w:eastAsia="zh-CN"/>
        </w:rPr>
      </w:pPr>
      <w:r>
        <w:rPr>
          <w:rFonts w:hint="default" w:ascii="宋体" w:hAnsi="宋体" w:eastAsia="宋体" w:cs="宋体"/>
          <w:b w:val="0"/>
          <w:bCs/>
          <w:sz w:val="24"/>
          <w:szCs w:val="24"/>
        </w:rPr>
        <w:t>15.1.3通风柜工作时，杜绝通风柜内有毒有害气体溢出</w:t>
      </w:r>
      <w:r>
        <w:rPr>
          <w:rFonts w:hint="eastAsia" w:ascii="宋体" w:hAnsi="宋体" w:eastAsia="宋体" w:cs="宋体"/>
          <w:b w:val="0"/>
          <w:bCs/>
          <w:sz w:val="24"/>
          <w:szCs w:val="24"/>
          <w:lang w:eastAsia="zh-CN"/>
        </w:rPr>
        <w:t>；</w:t>
      </w:r>
    </w:p>
    <w:p>
      <w:pPr>
        <w:adjustRightInd w:val="0"/>
        <w:spacing w:line="360" w:lineRule="auto"/>
        <w:ind w:firstLine="480" w:firstLineChars="200"/>
        <w:rPr>
          <w:rFonts w:hint="eastAsia" w:ascii="宋体" w:hAnsi="宋体" w:eastAsia="宋体" w:cs="宋体"/>
          <w:b w:val="0"/>
          <w:bCs/>
          <w:sz w:val="24"/>
          <w:szCs w:val="24"/>
          <w:lang w:eastAsia="zh-CN"/>
        </w:rPr>
      </w:pPr>
      <w:r>
        <w:rPr>
          <w:rFonts w:hint="default" w:ascii="宋体" w:hAnsi="宋体" w:eastAsia="宋体" w:cs="宋体"/>
          <w:b w:val="0"/>
          <w:bCs/>
          <w:sz w:val="24"/>
          <w:szCs w:val="24"/>
        </w:rPr>
        <w:t>15.1.4人体感应探测器检测通风柜视窗前1.5m*0.5m范围，无人工作时视窗会自动下降到最底部</w:t>
      </w:r>
      <w:r>
        <w:rPr>
          <w:rFonts w:hint="eastAsia" w:ascii="宋体" w:hAnsi="宋体" w:eastAsia="宋体" w:cs="宋体"/>
          <w:b w:val="0"/>
          <w:bCs/>
          <w:sz w:val="24"/>
          <w:szCs w:val="24"/>
          <w:lang w:eastAsia="zh-CN"/>
        </w:rPr>
        <w:t>；</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15.1.5通风柜满足通风要求时，单台噪音≤50dB。</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15.2.生产工艺及技术参数</w:t>
      </w:r>
    </w:p>
    <w:p>
      <w:pPr>
        <w:adjustRightInd w:val="0"/>
        <w:spacing w:line="360" w:lineRule="auto"/>
        <w:ind w:firstLine="480" w:firstLineChars="200"/>
        <w:rPr>
          <w:rFonts w:hint="default" w:ascii="宋体" w:hAnsi="宋体" w:eastAsia="宋体" w:cs="宋体"/>
          <w:b w:val="0"/>
          <w:bCs/>
          <w:sz w:val="24"/>
          <w:szCs w:val="24"/>
          <w:lang w:val="en-US" w:eastAsia="zh-CN"/>
        </w:rPr>
      </w:pPr>
      <w:r>
        <w:rPr>
          <w:rFonts w:hint="default" w:ascii="宋体" w:hAnsi="宋体" w:eastAsia="宋体" w:cs="宋体"/>
          <w:b w:val="0"/>
          <w:bCs/>
          <w:sz w:val="24"/>
          <w:szCs w:val="24"/>
        </w:rPr>
        <w:t>15.2.1规格尺寸：1500</w:t>
      </w:r>
      <w:r>
        <w:rPr>
          <w:rFonts w:hint="eastAsia" w:ascii="宋体" w:hAnsi="宋体" w:eastAsia="宋体" w:cs="宋体"/>
          <w:b w:val="0"/>
          <w:bCs/>
          <w:sz w:val="24"/>
          <w:szCs w:val="24"/>
          <w:lang w:val="en-US" w:eastAsia="zh-CN"/>
        </w:rPr>
        <w:t>mm</w:t>
      </w:r>
      <w:r>
        <w:rPr>
          <w:rFonts w:hint="default" w:ascii="宋体" w:hAnsi="宋体" w:eastAsia="宋体" w:cs="宋体"/>
          <w:b w:val="0"/>
          <w:bCs/>
          <w:sz w:val="24"/>
          <w:szCs w:val="24"/>
        </w:rPr>
        <w:t>*890</w:t>
      </w:r>
      <w:r>
        <w:rPr>
          <w:rFonts w:hint="eastAsia" w:ascii="宋体" w:hAnsi="宋体" w:eastAsia="宋体" w:cs="宋体"/>
          <w:b w:val="0"/>
          <w:bCs/>
          <w:sz w:val="24"/>
          <w:szCs w:val="24"/>
          <w:lang w:val="en-US" w:eastAsia="zh-CN"/>
        </w:rPr>
        <w:t>mm</w:t>
      </w:r>
      <w:r>
        <w:rPr>
          <w:rFonts w:hint="default" w:ascii="宋体" w:hAnsi="宋体" w:eastAsia="宋体" w:cs="宋体"/>
          <w:b w:val="0"/>
          <w:bCs/>
          <w:sz w:val="24"/>
          <w:szCs w:val="24"/>
        </w:rPr>
        <w:t>*2350</w:t>
      </w:r>
      <w:r>
        <w:rPr>
          <w:rFonts w:hint="eastAsia" w:ascii="宋体" w:hAnsi="宋体" w:eastAsia="宋体" w:cs="宋体"/>
          <w:b w:val="0"/>
          <w:bCs/>
          <w:sz w:val="24"/>
          <w:szCs w:val="24"/>
          <w:lang w:val="en-US" w:eastAsia="zh-CN"/>
        </w:rPr>
        <w:t>mm</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15.2.2技术要求：长、宽、高误差点≤3mm;邻边垂直度、台面、框架直角线1000mm以下≤2mm；1000mm以上≤3mm；</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15.2.3内衬板与主框架连接采用插接式装配，</w:t>
      </w:r>
      <w:r>
        <w:rPr>
          <w:rFonts w:hint="eastAsia" w:ascii="宋体" w:hAnsi="宋体" w:eastAsia="宋体" w:cs="宋体"/>
          <w:b w:val="0"/>
          <w:bCs/>
          <w:sz w:val="24"/>
          <w:szCs w:val="24"/>
          <w:lang w:val="en-US" w:eastAsia="zh-CN"/>
        </w:rPr>
        <w:t>为</w:t>
      </w:r>
      <w:r>
        <w:rPr>
          <w:rFonts w:hint="default" w:ascii="宋体" w:hAnsi="宋体" w:eastAsia="宋体" w:cs="宋体"/>
          <w:b w:val="0"/>
          <w:bCs/>
          <w:sz w:val="24"/>
          <w:szCs w:val="24"/>
        </w:rPr>
        <w:t>防止腐蚀禁用铆钉或螺丝固定；</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15.3.结构及材质要求</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15.3.1上柜体：上柜体顶部含照明、自动门、排风系统</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15.3.1.1 前框架：采用采用1.2mm厚度优质冷轧钢板（品牌：首钢、宝钢、鞍钢</w:t>
      </w:r>
      <w:r>
        <w:rPr>
          <w:rFonts w:hint="eastAsia" w:ascii="宋体" w:hAnsi="宋体" w:eastAsia="宋体" w:cs="宋体"/>
          <w:b w:val="0"/>
          <w:bCs/>
          <w:sz w:val="24"/>
          <w:szCs w:val="24"/>
          <w:lang w:val="en-US" w:eastAsia="zh-CN"/>
        </w:rPr>
        <w:t>等同等规格产品</w:t>
      </w:r>
      <w:r>
        <w:rPr>
          <w:rFonts w:hint="default" w:ascii="宋体" w:hAnsi="宋体" w:eastAsia="宋体" w:cs="宋体"/>
          <w:b w:val="0"/>
          <w:bCs/>
          <w:sz w:val="24"/>
          <w:szCs w:val="24"/>
        </w:rPr>
        <w:t>）焊制为一体，表面经酸洗磷化高压喷淋工艺处理、烘干后使用进口阿克苏环氧树脂喷涂粉末静电喷涂经180°高温固化，涂层厚度≥70μm，满足</w:t>
      </w:r>
      <w:r>
        <w:rPr>
          <w:rFonts w:hint="eastAsia" w:ascii="宋体" w:hAnsi="宋体" w:eastAsia="宋体" w:cs="宋体"/>
          <w:b w:val="0"/>
          <w:bCs/>
          <w:sz w:val="24"/>
          <w:szCs w:val="24"/>
          <w:lang w:val="en-US" w:eastAsia="zh-CN"/>
        </w:rPr>
        <w:t>试验室</w:t>
      </w:r>
      <w:r>
        <w:rPr>
          <w:rFonts w:hint="default" w:ascii="宋体" w:hAnsi="宋体" w:eastAsia="宋体" w:cs="宋体"/>
          <w:b w:val="0"/>
          <w:bCs/>
          <w:sz w:val="24"/>
          <w:szCs w:val="24"/>
        </w:rPr>
        <w:t>家具硬度、耐腐蚀、附着力的技术要求。表面光滑均匀、色泽一致、无流挂、皱皮、鼓泡、凹陷、压痕。</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15.3.1.2主框架：采用1.2mm厚度优质冷轧钢板，表面经酸洗磷化高压喷淋工艺处理、烘干后使用进口“阿克苏”环氧树脂喷涂粉末静电喷涂经180°高温固化，涂层厚度 ≥70μm，满足实验室家具硬度、耐腐蚀、附着力的技术要求。表面光滑均匀、色泽一致、无流挂、皱皮、鼓泡、凹陷、压痕。提供“阿克苏”塑粉的检测报告。</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15.3.2内衬板：根据不同的</w:t>
      </w:r>
      <w:r>
        <w:rPr>
          <w:rFonts w:hint="eastAsia" w:ascii="宋体" w:hAnsi="宋体" w:eastAsia="宋体" w:cs="宋体"/>
          <w:b w:val="0"/>
          <w:bCs/>
          <w:sz w:val="24"/>
          <w:szCs w:val="24"/>
          <w:lang w:val="en-US" w:eastAsia="zh-CN"/>
        </w:rPr>
        <w:t>试验室</w:t>
      </w:r>
      <w:r>
        <w:rPr>
          <w:rFonts w:hint="default" w:ascii="宋体" w:hAnsi="宋体" w:eastAsia="宋体" w:cs="宋体"/>
          <w:b w:val="0"/>
          <w:bCs/>
          <w:sz w:val="24"/>
          <w:szCs w:val="24"/>
        </w:rPr>
        <w:t>来选配不同材质的内衬板。</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内衬板：选用实验室专用的厚度5mm低播焰材料制成的耐腐蚀、耐污染、易清洁、抗冲击、环保的抗倍特板。同时达到国内外专业要求的技术质量使用标准。出具相应的检测报告、证书复印件(盖公章）</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15.3.2.2产品物理性能：</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按国家标准“GB/T7911-2013热固性树脂浸渍纸高压装饰层积板”进行检测，其物理性能达到或优于标准要求：1.表面耐磨性能1100r；2.耐湿热新能：等级1；3.耐大球冲击：压痕直径：0mm；4.耐香烟灼烧性能：2级；5.耐龟裂性能:等级5；6.表面耐水蒸气性能：等级1；7.表面耐划痕性能：等级1；8.拉伸强度：68.6MPa；9.弯曲强度：横向99.2 Mpa MPa，纵向93.3弯曲弹性模量：横向9600 Mpa，纵向8960 Mpa。</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通过SGS检测的燃烧性能C级即GB8624标准的B1级，板材密度达1447kg/m³</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15.3.2.3产品环保性能</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需提供GREENGUARD证书（环评认证。）</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需提供国家化学建筑材料测试中心依照FB18580-2001检测的甲醛释放量报告，检测结果0.01mg/l.</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15.3.3视窗</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15.3.3.1采用5mm厚钢化玻璃，要求透明度高，安全性高，视窗开启高度不小于730mm，能在任意位置悬停。</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15.3.3.2窗框采用PVC型材，耐酸碱腐蚀。</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15.3.4 排风箱：排风箱厚度70mm，采用PP材质制成。</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15.3.5 同步带：通风柜视窗升降采用同步带。</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15.3.6 人体感应：红外线实时扫描探测区域内物体的移动状态，并根据探测结果制视窗的自动降落。视窗无人降落感应时间可在0-5分钟内调整。</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15.3.7下柜部分：下柜为整体式全钢制下柜。</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15.3.7.1柜体</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（1）采用1.2mm厚冷轧钢板为基材，全自动压模成型，表面经磷化、酸洗、环氧树脂粉末烤漆处理、化学防锈处理，无突出漆块，光洁亮丽，抗强酸强碱性能突出；环氧树脂喷涂厚度 ≥70μm。烤漆符合CNS H2079-1983镀锌钢板烤漆膜厚、涂膜附着度（方格）试验。</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（2）调整脚采用不锈钢可调脚，下衬防水垫。</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15.3.7.2 柜门：采用1.0mm厚优质冷轧钢板（品牌：首钢、宝钢、鞍钢</w:t>
      </w:r>
      <w:r>
        <w:rPr>
          <w:rFonts w:hint="eastAsia" w:ascii="宋体" w:hAnsi="宋体" w:eastAsia="宋体" w:cs="宋体"/>
          <w:b w:val="0"/>
          <w:bCs/>
          <w:sz w:val="24"/>
          <w:szCs w:val="24"/>
          <w:lang w:val="en-US" w:eastAsia="zh-CN"/>
        </w:rPr>
        <w:t>或同等规格产品</w:t>
      </w:r>
      <w:r>
        <w:rPr>
          <w:rFonts w:hint="default" w:ascii="宋体" w:hAnsi="宋体" w:eastAsia="宋体" w:cs="宋体"/>
          <w:b w:val="0"/>
          <w:bCs/>
          <w:sz w:val="24"/>
          <w:szCs w:val="24"/>
        </w:rPr>
        <w:t>），内外双层扣合式，内填充隔音材料，所有工件经模具冲压折弯焊接而成，焊接部分打磨、抛光处理平滑过渡，焊点无毛刺及虚焊，表面经高压喷淋工艺处理、烘干后使用环氧树脂喷涂粉末静电喷涂经180°高温固化，涂层厚度≥70μm，满足</w:t>
      </w:r>
      <w:r>
        <w:rPr>
          <w:rFonts w:hint="eastAsia" w:ascii="宋体" w:hAnsi="宋体" w:eastAsia="宋体" w:cs="宋体"/>
          <w:b w:val="0"/>
          <w:bCs/>
          <w:sz w:val="24"/>
          <w:szCs w:val="24"/>
          <w:lang w:val="en-US" w:eastAsia="zh-CN"/>
        </w:rPr>
        <w:t>试验室</w:t>
      </w:r>
      <w:r>
        <w:rPr>
          <w:rFonts w:hint="default" w:ascii="宋体" w:hAnsi="宋体" w:eastAsia="宋体" w:cs="宋体"/>
          <w:b w:val="0"/>
          <w:bCs/>
          <w:sz w:val="24"/>
          <w:szCs w:val="24"/>
        </w:rPr>
        <w:t>家具硬度、耐腐蚀、附着力的技术要求。表面光滑均匀、色泽一致、无流挂、皱皮、鼓泡、凹陷、压痕。</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（1）拉手：把手采用太空铝工字型。</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（2）铰链：采用不锈钢铰链，带阻尼缓冲。（品牌：DTC、海福乐、FGV</w:t>
      </w:r>
      <w:r>
        <w:rPr>
          <w:rFonts w:hint="eastAsia" w:ascii="宋体" w:hAnsi="宋体" w:eastAsia="宋体" w:cs="宋体"/>
          <w:b w:val="0"/>
          <w:bCs/>
          <w:sz w:val="24"/>
          <w:szCs w:val="24"/>
          <w:lang w:val="en-US" w:eastAsia="zh-CN"/>
        </w:rPr>
        <w:t>或同等规格产品</w:t>
      </w:r>
      <w:r>
        <w:rPr>
          <w:rFonts w:hint="default" w:ascii="宋体" w:hAnsi="宋体" w:eastAsia="宋体" w:cs="宋体"/>
          <w:b w:val="0"/>
          <w:bCs/>
          <w:sz w:val="24"/>
          <w:szCs w:val="24"/>
        </w:rPr>
        <w:t>）</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15.3.8通风柜台面：本项目要求采用优质19mm环氧树脂台面板，结构坚固致密，耐强酸碱、抗高温、防腐蚀，绝对防潮、耐刻划，经久耐用、具备打磨还原性能及良好的承重性能等特点。台面板性能要求：</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（1）由环氧树脂、石英砂、石英粉，固化剂和颜料浇筑而成；</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（2）不可燃，耐600℃高温（瞬间），表面与火焰直接接触不起泡、不断裂；与实验室常见高温长时间接触，受热时无异味产生，对人体的伤害降到最低。</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（3）环氧树脂台面，台面刮伤后可修复，惰性材料，在24小时的抗化学试剂的测试中表现优异，对不同种类的化学试剂具有超强抗腐蚀性能，所提供的环氧树脂台面必须不低于以下技术参数性能。</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A、理化性能：75项（质量符合国家化学建筑材料测试中心编号2022（X）10099）2023(X)09047</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 硫酸（98%），（2）王水，（3）次氯酸钠（13%），（4）甲酚红-乙醇（0.1%），（5）三氯甲烷，（6）二甲苯，（7）氯化钠（20%），（8）三氯乙烯，（9）硝酸（65%），（10）高氯酸(90%)，（11）三氯化铁（10%），（12）红药水,（13）乙醇(95%)，（14）氢氧化钠（40%），（15）乙酸（99%），（16）氨水（28%），(17)苯酚饱和液，（18）四氯呋喃，（19）乙酸乙酯，（20）甲苯，（21）汽油，（22）二氯甲烷，（23）重铬酸钾（5%），（24）对甲酚，（25）N,N-二甲基甲酰胺，（26）四氯化碳，（27）石脑油，（28）乙酸正戊酯，（29）柠檬酸(10%)，（30）乙醚，（31）2-丁酮，（32）亚加蓝（1%），（33）丙酮，（34）氯化锌饱和，（35）无水甲醇，（36）正己烷，（37）双氧水（3%），（38）盐酸（37%），（39）正丁醇，（40）氢氟酸（40%），（41）硝酸银（1%），（42）氯化（10%），（43）凡士林，（44）碘酒，（45）磷酸（85%），（46）硫酸钠饱和液，（47）氯苯，（48）硫酸铜（10%），（49）萘，（50）乙腈，（51）异丙醇，（52）1,4-二氧六环，（53）甲醛（37%）,(54)甲酸（88%）,（55）氯化铁（10%），（56）氯化（5%），（57）亚甲基蓝（5%），（58）过氧化氢（30%），（59）磷酸氢二钠（5%），（60）尿素（6%），（61）无水乙醇，（62）糠醛，（63）硝酸银饱和液，（64）草酸饱和液，（65）铬酸洗液，（66）苯，（67）异丙醚，（68）松节油，（69）机油，（70）煤油，（71）石油醚，（72）异辛烷，（73）洗涤剂，（74）紫药水，（75）碘伏。经盖玻及不盖玻24H检测均为5级。</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B、物理性能：（质量符合国家化学建筑材料测试中心编号2023（X）09046和2023（X）09063）</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1）密度：2.09g/cm3（GB/T 17657-2022 4.2)；</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2）含水率（%): 0.02% (GB/T 17657-2022 4.3)；</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3）耐高温（120℃，2h):表面无裂纹（GB/T 17657-2022 4.30）；</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4）耐光色牢度级：＞4（GB/T 17657-2022 4.31);</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5）表面耐龟裂性：5级，用6倍放大镜观察表面无裂纹(GB/T 17657-2022 4.39）；</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6）表面耐划痕性能：4N，试件表面无大于90&amp;的连续划痕，表面装饰花纹无破坏现象 (GB/T 17657-2022 4.42)；</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7）表面耐磨性，r：＞3000 (GB/T 17657-2022 4.45)；</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8）表面耐干热性能（180℃）：5级，无明显变化 (GB/T 17657-2022 4.48)；</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9）表面耐湿热性能：5级，无明显变化 (GB/T 17657-2022 4.50)；</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10）水平燃烧：HB级（GB/T 2408-2021)；</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11）耐香烟燃烧性：5级，无明显变化（GB/T 7911-2013 7.3.14）；</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12）洛氏硬度（R）：120（ASTM D785-08(2015）)；</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13）弯曲弹性模量，MPa: 2.15*104 (ASTM D790-17)；</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14）导热系数，W/m.k：1.865 （GB/T 10297-2015）；</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15）负荷变形温度（0.45MPa），℃：＞180（GB/T 1634.2-2019）；</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16）压缩强度，MPa: 236（GB/T 1041-2008 ）；</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17）表面耐水蒸气性：5级，无变化（GB/T 17657-2022 4.38）；</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18）表面耐冷热循环：表面无裂纹、鼓泡（GB/T 17657-2022 4.40）；</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19）抗冲击（1m，0.324kg）,mm: 4.5 无破损 （GB/T 17657-2022 4.53）；</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20）耐静电性能，Ω: 9.94*1014 （GB/T 17657-2022 4.56）；</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21）耐老化性能：表面无明显可见变化（GB/T 7911-2013 7.3.22）；</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22）吸水厚度膨胀率，%：0.1（GB/T 17657-2022 4.4）；</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23）表面耐沸水（3h）：外观: 5级，无变化（GB/T 17657-2022.4.52），质量增加，%:0.03(GB/T 17657-2022 4.52)，厚度增加，%：0.1（GB/T 17657-2022 4.52）；</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24）弯曲强度，MPa: 91.6 (ASTM D790-17)；</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25）简支梁无口冲击强度（23℃），kJ/m2: 9.3（C）（GB/T 1043.1-2008）；</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26）简支梁无口冲击强度（-40℃），kJ/m2: 8.2（C）（GB/T 1043.1-2008）；</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w:t>
      </w:r>
      <w:r>
        <w:rPr>
          <w:rFonts w:hint="eastAsia" w:ascii="宋体" w:hAnsi="宋体" w:eastAsia="宋体" w:cs="宋体"/>
          <w:b w:val="0"/>
          <w:bCs/>
          <w:sz w:val="24"/>
          <w:szCs w:val="24"/>
          <w:lang w:val="en-US" w:eastAsia="zh-CN"/>
        </w:rPr>
        <w:t>4</w:t>
      </w:r>
      <w:r>
        <w:rPr>
          <w:rFonts w:hint="default" w:ascii="宋体" w:hAnsi="宋体" w:eastAsia="宋体" w:cs="宋体"/>
          <w:b w:val="0"/>
          <w:bCs/>
          <w:sz w:val="24"/>
          <w:szCs w:val="24"/>
        </w:rPr>
        <w:t>）表面无毛细孔；</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w:t>
      </w:r>
      <w:r>
        <w:rPr>
          <w:rFonts w:hint="eastAsia" w:ascii="宋体" w:hAnsi="宋体" w:eastAsia="宋体" w:cs="宋体"/>
          <w:b w:val="0"/>
          <w:bCs/>
          <w:sz w:val="24"/>
          <w:szCs w:val="24"/>
          <w:lang w:val="en-US" w:eastAsia="zh-CN"/>
        </w:rPr>
        <w:t>5</w:t>
      </w:r>
      <w:r>
        <w:rPr>
          <w:rFonts w:hint="default" w:ascii="宋体" w:hAnsi="宋体" w:eastAsia="宋体" w:cs="宋体"/>
          <w:b w:val="0"/>
          <w:bCs/>
          <w:sz w:val="24"/>
          <w:szCs w:val="24"/>
        </w:rPr>
        <w:t>）不含任何易吸潮的成份，安装后不起翘变形；</w:t>
      </w:r>
    </w:p>
    <w:p>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w:t>
      </w:r>
      <w:r>
        <w:rPr>
          <w:rFonts w:hint="eastAsia" w:ascii="宋体" w:hAnsi="宋体" w:eastAsia="宋体" w:cs="宋体"/>
          <w:b w:val="0"/>
          <w:bCs/>
          <w:sz w:val="24"/>
          <w:szCs w:val="24"/>
          <w:lang w:val="en-US" w:eastAsia="zh-CN"/>
        </w:rPr>
        <w:t>6</w:t>
      </w:r>
      <w:r>
        <w:rPr>
          <w:rFonts w:hint="default" w:ascii="宋体" w:hAnsi="宋体" w:eastAsia="宋体" w:cs="宋体"/>
          <w:b w:val="0"/>
          <w:bCs/>
          <w:sz w:val="24"/>
          <w:szCs w:val="24"/>
        </w:rPr>
        <w:t>）不含任何有毒物质，不释放任何有害物质，不可燃，不导电，受热时不产生有毒气体，不会侵害操作人员的安全健康。</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排风系统范围界限</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.1本次排风系统包含</w:t>
      </w:r>
      <w:r>
        <w:rPr>
          <w:rFonts w:hint="eastAsia" w:ascii="宋体" w:hAnsi="宋体" w:eastAsia="宋体" w:cs="宋体"/>
          <w:b w:val="0"/>
          <w:bCs/>
          <w:sz w:val="24"/>
          <w:szCs w:val="24"/>
          <w:lang w:val="en-US" w:eastAsia="zh-CN"/>
        </w:rPr>
        <w:t>试验室</w:t>
      </w:r>
      <w:r>
        <w:rPr>
          <w:rFonts w:hint="eastAsia" w:ascii="宋体" w:hAnsi="宋体" w:eastAsia="宋体" w:cs="宋体"/>
          <w:b w:val="0"/>
          <w:bCs/>
          <w:sz w:val="24"/>
          <w:szCs w:val="24"/>
          <w:lang w:val="en-GB"/>
        </w:rPr>
        <w:t>一层</w:t>
      </w:r>
      <w:r>
        <w:rPr>
          <w:rFonts w:hint="eastAsia" w:ascii="宋体" w:hAnsi="宋体" w:eastAsia="宋体" w:cs="宋体"/>
          <w:b w:val="0"/>
          <w:bCs/>
          <w:sz w:val="24"/>
          <w:szCs w:val="24"/>
          <w:lang w:val="en-US" w:eastAsia="zh-CN"/>
        </w:rPr>
        <w:t>雾化+气味房间</w:t>
      </w:r>
      <w:r>
        <w:rPr>
          <w:rFonts w:hint="eastAsia" w:ascii="宋体" w:hAnsi="宋体" w:eastAsia="宋体" w:cs="宋体"/>
          <w:b w:val="0"/>
          <w:bCs/>
          <w:sz w:val="24"/>
          <w:szCs w:val="24"/>
          <w:lang w:val="en-GB"/>
        </w:rPr>
        <w:t>、</w:t>
      </w:r>
      <w:r>
        <w:rPr>
          <w:rFonts w:hint="eastAsia" w:ascii="宋体" w:hAnsi="宋体" w:eastAsia="宋体" w:cs="宋体"/>
          <w:b w:val="0"/>
          <w:bCs/>
          <w:sz w:val="24"/>
          <w:szCs w:val="24"/>
          <w:lang w:val="en-US" w:eastAsia="zh-CN"/>
        </w:rPr>
        <w:t>VOC分析室、VOC有机处理房间，</w:t>
      </w:r>
      <w:r>
        <w:rPr>
          <w:rFonts w:hint="eastAsia" w:ascii="宋体" w:hAnsi="宋体" w:eastAsia="宋体" w:cs="宋体"/>
          <w:b w:val="0"/>
          <w:bCs/>
          <w:sz w:val="24"/>
          <w:szCs w:val="24"/>
          <w:lang w:val="en-GB"/>
        </w:rPr>
        <w:t>二层</w:t>
      </w:r>
      <w:r>
        <w:rPr>
          <w:rFonts w:hint="eastAsia" w:ascii="宋体" w:hAnsi="宋体" w:eastAsia="宋体" w:cs="宋体"/>
          <w:b w:val="0"/>
          <w:bCs/>
          <w:sz w:val="24"/>
          <w:szCs w:val="24"/>
          <w:lang w:val="en-US" w:eastAsia="zh-CN"/>
        </w:rPr>
        <w:t>高温试验室、萃取试验间、非金属分析试验室、润滑油性能试验室、冷却液产品性能试验室、金相电镜制样室、老化试验室、盐雾试验室、漆膜试验室</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化学</w:t>
      </w:r>
      <w:r>
        <w:rPr>
          <w:rFonts w:hint="eastAsia" w:ascii="宋体" w:hAnsi="宋体" w:eastAsia="宋体" w:cs="宋体"/>
          <w:b w:val="0"/>
          <w:bCs/>
          <w:sz w:val="24"/>
          <w:szCs w:val="24"/>
          <w:lang w:val="en-US" w:eastAsia="zh-CN"/>
        </w:rPr>
        <w:t>类的</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根据</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具体情况进行排风，物理</w:t>
      </w:r>
      <w:r>
        <w:rPr>
          <w:rFonts w:hint="eastAsia" w:ascii="宋体" w:hAnsi="宋体" w:eastAsia="宋体" w:cs="宋体"/>
          <w:b w:val="0"/>
          <w:bCs/>
          <w:sz w:val="24"/>
          <w:szCs w:val="24"/>
          <w:lang w:val="en-US" w:eastAsia="zh-CN"/>
        </w:rPr>
        <w:t>类的</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维持</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微换风，排风次数按照1-3次考虑。</w:t>
      </w:r>
    </w:p>
    <w:p>
      <w:pPr>
        <w:spacing w:line="360" w:lineRule="auto"/>
        <w:ind w:firstLine="480" w:firstLineChars="200"/>
        <w:rPr>
          <w:rFonts w:hint="eastAsia" w:ascii="宋体" w:hAnsi="宋体" w:eastAsia="宋体" w:cs="宋体"/>
          <w:b w:val="0"/>
          <w:bCs/>
          <w:sz w:val="24"/>
          <w:szCs w:val="24"/>
          <w:lang w:val="en-GB" w:eastAsia="zh-CN"/>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.2排风系统根据</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布局</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做区域划分，</w:t>
      </w:r>
      <w:r>
        <w:rPr>
          <w:rFonts w:hint="eastAsia" w:ascii="宋体" w:hAnsi="宋体" w:eastAsia="宋体" w:cs="宋体"/>
          <w:b w:val="0"/>
          <w:bCs/>
          <w:sz w:val="24"/>
          <w:szCs w:val="24"/>
          <w:lang w:val="en-GB"/>
        </w:rPr>
        <w:t>统一从</w:t>
      </w:r>
      <w:r>
        <w:rPr>
          <w:rFonts w:hint="eastAsia" w:ascii="宋体" w:hAnsi="宋体" w:eastAsia="宋体" w:cs="宋体"/>
          <w:b w:val="0"/>
          <w:bCs/>
          <w:sz w:val="24"/>
          <w:szCs w:val="24"/>
          <w:lang w:val="en-US" w:eastAsia="zh-CN"/>
        </w:rPr>
        <w:t>二层</w:t>
      </w:r>
      <w:r>
        <w:rPr>
          <w:rFonts w:hint="eastAsia" w:ascii="宋体" w:hAnsi="宋体" w:eastAsia="宋体" w:cs="宋体"/>
          <w:b w:val="0"/>
          <w:bCs/>
          <w:sz w:val="24"/>
          <w:szCs w:val="24"/>
          <w:lang w:val="en-GB"/>
        </w:rPr>
        <w:t>内部</w:t>
      </w:r>
      <w:r>
        <w:rPr>
          <w:rFonts w:hint="eastAsia" w:ascii="宋体" w:hAnsi="宋体" w:eastAsia="宋体" w:cs="宋体"/>
          <w:b w:val="0"/>
          <w:bCs/>
          <w:sz w:val="24"/>
          <w:szCs w:val="24"/>
          <w:lang w:val="en-US" w:eastAsia="zh-CN"/>
        </w:rPr>
        <w:t>汇总后，穿楼板至屋面外，避免管道出现在天井内，</w:t>
      </w:r>
      <w:r>
        <w:rPr>
          <w:rFonts w:hint="eastAsia" w:ascii="宋体" w:hAnsi="宋体" w:eastAsia="宋体" w:cs="宋体"/>
          <w:b w:val="0"/>
          <w:bCs/>
          <w:sz w:val="24"/>
          <w:szCs w:val="24"/>
          <w:lang w:val="en-GB"/>
        </w:rPr>
        <w:t>经尾气处理合格后集中高空排放</w:t>
      </w:r>
      <w:r>
        <w:rPr>
          <w:rFonts w:hint="eastAsia" w:ascii="宋体" w:hAnsi="宋体" w:eastAsia="宋体" w:cs="宋体"/>
          <w:b w:val="0"/>
          <w:bCs/>
          <w:sz w:val="24"/>
          <w:szCs w:val="24"/>
          <w:lang w:val="en-GB" w:eastAsia="zh-CN"/>
        </w:rPr>
        <w:t>。</w:t>
      </w:r>
      <w:r>
        <w:rPr>
          <w:rFonts w:hint="eastAsia" w:ascii="宋体" w:hAnsi="宋体" w:eastAsia="宋体" w:cs="宋体"/>
          <w:bCs/>
          <w:sz w:val="24"/>
          <w:szCs w:val="24"/>
          <w:lang w:val="en-GB"/>
        </w:rPr>
        <w:t>如试验室</w:t>
      </w:r>
      <w:r>
        <w:rPr>
          <w:rFonts w:hint="eastAsia" w:ascii="宋体" w:hAnsi="宋体" w:eastAsia="宋体" w:cs="宋体"/>
          <w:bCs/>
          <w:sz w:val="24"/>
          <w:szCs w:val="24"/>
          <w:lang w:val="en-US" w:eastAsia="zh-CN"/>
        </w:rPr>
        <w:t>室</w:t>
      </w:r>
      <w:r>
        <w:rPr>
          <w:rFonts w:hint="eastAsia" w:ascii="宋体" w:hAnsi="宋体" w:eastAsia="宋体" w:cs="宋体"/>
          <w:bCs/>
          <w:sz w:val="24"/>
          <w:szCs w:val="24"/>
          <w:lang w:val="en-GB"/>
        </w:rPr>
        <w:t>内需要布置汇总立管，在立管外需进行隔音降噪处理。立管外包阻尼片及隔音泡沫后，再以</w:t>
      </w:r>
      <w:r>
        <w:rPr>
          <w:rFonts w:hint="eastAsia" w:ascii="宋体" w:hAnsi="宋体" w:eastAsia="宋体" w:cs="宋体"/>
          <w:bCs/>
          <w:sz w:val="24"/>
          <w:szCs w:val="24"/>
          <w:lang w:val="en-US" w:eastAsia="zh-CN"/>
        </w:rPr>
        <w:t>装饰板</w:t>
      </w:r>
      <w:r>
        <w:rPr>
          <w:rFonts w:hint="eastAsia" w:ascii="宋体" w:hAnsi="宋体" w:eastAsia="宋体" w:cs="宋体"/>
          <w:bCs/>
          <w:sz w:val="24"/>
          <w:szCs w:val="24"/>
          <w:lang w:val="en-GB"/>
        </w:rPr>
        <w:t>包裹，装饰板高度与</w:t>
      </w:r>
      <w:r>
        <w:rPr>
          <w:rFonts w:hint="eastAsia" w:ascii="宋体" w:hAnsi="宋体" w:eastAsia="宋体" w:cs="宋体"/>
          <w:bCs/>
          <w:sz w:val="24"/>
          <w:szCs w:val="24"/>
          <w:lang w:val="en-US" w:eastAsia="zh-CN"/>
        </w:rPr>
        <w:t>天花板吊顶</w:t>
      </w:r>
      <w:r>
        <w:rPr>
          <w:rFonts w:hint="eastAsia" w:ascii="宋体" w:hAnsi="宋体" w:eastAsia="宋体" w:cs="宋体"/>
          <w:bCs/>
          <w:sz w:val="24"/>
          <w:szCs w:val="24"/>
          <w:lang w:val="en-GB"/>
        </w:rPr>
        <w:t>等高</w:t>
      </w:r>
      <w:r>
        <w:rPr>
          <w:rFonts w:hint="eastAsia" w:ascii="宋体" w:hAnsi="宋体" w:eastAsia="宋体" w:cs="宋体"/>
          <w:bCs/>
          <w:sz w:val="24"/>
          <w:szCs w:val="24"/>
          <w:lang w:val="en-US" w:eastAsia="zh-CN"/>
        </w:rPr>
        <w:t>且颜色需要保持一致</w:t>
      </w:r>
      <w:r>
        <w:rPr>
          <w:rFonts w:hint="eastAsia" w:ascii="宋体" w:hAnsi="宋体" w:eastAsia="宋体" w:cs="宋体"/>
          <w:bCs/>
          <w:sz w:val="24"/>
          <w:szCs w:val="24"/>
          <w:lang w:val="en-GB"/>
        </w:rPr>
        <w:t>。</w:t>
      </w:r>
    </w:p>
    <w:p>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.3新风系统根据</w:t>
      </w:r>
      <w:r>
        <w:rPr>
          <w:rFonts w:hint="eastAsia" w:ascii="宋体" w:hAnsi="宋体" w:eastAsia="宋体" w:cs="宋体"/>
          <w:b w:val="0"/>
          <w:bCs/>
          <w:sz w:val="24"/>
          <w:szCs w:val="24"/>
          <w:lang w:val="en-US" w:eastAsia="zh-CN"/>
        </w:rPr>
        <w:t>试验室布局及需求</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从</w:t>
      </w:r>
      <w:r>
        <w:rPr>
          <w:rFonts w:hint="eastAsia" w:ascii="宋体" w:hAnsi="宋体" w:eastAsia="宋体" w:cs="宋体"/>
          <w:b w:val="0"/>
          <w:bCs/>
          <w:sz w:val="24"/>
          <w:szCs w:val="24"/>
          <w:lang w:val="en-US" w:eastAsia="zh-CN"/>
        </w:rPr>
        <w:t>屋面穿孔</w:t>
      </w:r>
      <w:r>
        <w:rPr>
          <w:rFonts w:hint="eastAsia" w:ascii="宋体" w:hAnsi="宋体" w:eastAsia="宋体" w:cs="宋体"/>
          <w:b w:val="0"/>
          <w:bCs/>
          <w:sz w:val="24"/>
          <w:szCs w:val="24"/>
          <w:lang w:val="en-GB"/>
        </w:rPr>
        <w:t>下至室内，</w:t>
      </w:r>
      <w:r>
        <w:rPr>
          <w:rFonts w:hint="eastAsia" w:ascii="宋体" w:hAnsi="宋体" w:eastAsia="宋体" w:cs="宋体"/>
          <w:b w:val="0"/>
          <w:bCs/>
          <w:sz w:val="24"/>
          <w:szCs w:val="24"/>
          <w:lang w:val="en-US" w:eastAsia="zh-CN"/>
        </w:rPr>
        <w:t>避免管道出现在天井内。</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16.4各试验间废气种类如下：</w:t>
      </w:r>
    </w:p>
    <w:tbl>
      <w:tblPr>
        <w:tblStyle w:val="3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91"/>
        <w:gridCol w:w="54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试验间</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气体种类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零部件VOC-雾化+气味室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零部件VOC-VOC有机处理室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零部件VOC-VOC分析室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阻燃试验室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燃烧产物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非金属分析试验室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萃取用丙酮、甲苯；烃类气体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0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高温试验室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烃类气体；ASTM 1号油、3号油高温挥发物；尿素、冷却液、柴油等高温下挥发物；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盐雾试验室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盐雾气体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金相、电镜制样室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丙酮、4%硝酸酒精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冷却液产品性能试验室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硝酸、磷酸、盐酸、冰乙酸；冷却液高温下的挥发物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润滑油性能试验室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冰乙酸、甲苯、石油醚、丙酮、异丙醇、D80；润滑油高温下挥发物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bidi="ar"/>
              </w:rPr>
              <w:t>老化试验室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烃类气体；ASTM 1号油、3号油高温挥发物；尿素、冷却液、柴油等高温下挥发物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val="0"/>
                <w:bCs w:val="0"/>
                <w:color w:val="auto"/>
                <w:kern w:val="0"/>
                <w:sz w:val="20"/>
                <w:szCs w:val="20"/>
                <w:u w:val="none"/>
                <w:lang w:val="en-US" w:eastAsia="zh-CN" w:bidi="ar"/>
              </w:rPr>
              <w:t>漆膜试验室</w:t>
            </w:r>
          </w:p>
        </w:tc>
        <w:tc>
          <w:tcPr>
            <w:tcW w:w="2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有机溶剂</w:t>
            </w:r>
          </w:p>
        </w:tc>
      </w:tr>
    </w:tbl>
    <w:p>
      <w:pPr>
        <w:spacing w:line="360" w:lineRule="auto"/>
        <w:ind w:firstLine="480" w:firstLineChars="200"/>
        <w:rPr>
          <w:rFonts w:hint="default" w:ascii="宋体" w:hAnsi="宋体" w:eastAsia="宋体" w:cs="宋体"/>
          <w:b w:val="0"/>
          <w:bCs/>
          <w:color w:val="auto"/>
          <w:sz w:val="24"/>
          <w:szCs w:val="24"/>
          <w:lang w:val="en-US" w:eastAsia="zh-CN"/>
        </w:rPr>
      </w:pP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16.5油品试验产生的含挥发性有机物、甲苯等有机废气收集后，需经两级活性炭吸附装置处理；油品试验产生的含硫酸雾等酸性废气收集后，经干式酸气吸附剂吸附处理；燃烧试验产生的含颗粒物、一氧化碳等废气收集后，经烟尘净化装置处理，烟尘净化装置由招标方提供。</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16.6试验室内排风分室内排风及设备排风两类，其中设备排风需分步实施，排风管道需靠房间墙壁处预留接口，接口用盲板封堵，系统控制线做充分预留，待搬迁的设备通风橱等现场就位后，根据位置情况铺设房间内废气汇总管路及各设备分支管路，连接设备的分支管路长度需确保招标方可不增加管路用量，并完成电动风阀的安装及控制信号线的接入，搬迁的设备通风橱与相应排风管路的连接由招标方负责，新购的设备通风橱到场后按招标方要求直接与排风系统连接完成。存在设备排风的试验间可参考前文工艺平面图及其附件图纸。</w:t>
      </w:r>
    </w:p>
    <w:p>
      <w:pPr>
        <w:pStyle w:val="19"/>
        <w:spacing w:line="360" w:lineRule="auto"/>
        <w:ind w:firstLine="480" w:firstLineChars="200"/>
        <w:rPr>
          <w:rFonts w:hint="default" w:hAnsi="宋体" w:eastAsia="宋体" w:cs="宋体"/>
          <w:b w:val="0"/>
          <w:bCs/>
          <w:sz w:val="24"/>
          <w:szCs w:val="24"/>
          <w:lang w:val="en-US" w:eastAsia="zh-CN"/>
        </w:rPr>
      </w:pPr>
      <w:r>
        <w:rPr>
          <w:rFonts w:hint="eastAsia" w:hAnsi="宋体" w:eastAsia="宋体" w:cs="宋体"/>
          <w:b w:val="0"/>
          <w:bCs/>
          <w:sz w:val="24"/>
          <w:szCs w:val="24"/>
          <w:lang w:val="en-US" w:eastAsia="zh-CN"/>
        </w:rPr>
        <w:t>16.7</w:t>
      </w:r>
      <w:r>
        <w:rPr>
          <w:rFonts w:hint="eastAsia" w:ascii="宋体" w:hAnsi="宋体" w:eastAsia="宋体" w:cs="宋体"/>
          <w:b w:val="0"/>
          <w:bCs/>
          <w:sz w:val="24"/>
          <w:szCs w:val="24"/>
          <w:lang w:val="en-US" w:eastAsia="zh-CN"/>
        </w:rPr>
        <w:t>试验室内</w:t>
      </w:r>
      <w:r>
        <w:rPr>
          <w:rFonts w:hint="eastAsia" w:hAnsi="宋体" w:eastAsia="宋体" w:cs="宋体"/>
          <w:b w:val="0"/>
          <w:bCs/>
          <w:sz w:val="24"/>
          <w:szCs w:val="24"/>
          <w:lang w:val="en-US" w:eastAsia="zh-CN"/>
        </w:rPr>
        <w:t>新风</w:t>
      </w:r>
      <w:r>
        <w:rPr>
          <w:rFonts w:hint="eastAsia" w:ascii="宋体" w:hAnsi="宋体" w:eastAsia="宋体" w:cs="宋体"/>
          <w:b w:val="0"/>
          <w:bCs/>
          <w:sz w:val="24"/>
          <w:szCs w:val="24"/>
          <w:lang w:val="en-US" w:eastAsia="zh-CN"/>
        </w:rPr>
        <w:t>分室内</w:t>
      </w:r>
      <w:r>
        <w:rPr>
          <w:rFonts w:hint="eastAsia" w:hAnsi="宋体" w:eastAsia="宋体" w:cs="宋体"/>
          <w:b w:val="0"/>
          <w:bCs/>
          <w:sz w:val="24"/>
          <w:szCs w:val="24"/>
          <w:lang w:val="en-US" w:eastAsia="zh-CN"/>
        </w:rPr>
        <w:t>新风</w:t>
      </w:r>
      <w:r>
        <w:rPr>
          <w:rFonts w:hint="eastAsia" w:ascii="宋体" w:hAnsi="宋体" w:eastAsia="宋体" w:cs="宋体"/>
          <w:b w:val="0"/>
          <w:bCs/>
          <w:sz w:val="24"/>
          <w:szCs w:val="24"/>
          <w:lang w:val="en-US" w:eastAsia="zh-CN"/>
        </w:rPr>
        <w:t>及设备</w:t>
      </w:r>
      <w:r>
        <w:rPr>
          <w:rFonts w:hint="eastAsia" w:hAnsi="宋体" w:eastAsia="宋体" w:cs="宋体"/>
          <w:b w:val="0"/>
          <w:bCs/>
          <w:sz w:val="24"/>
          <w:szCs w:val="24"/>
          <w:lang w:val="en-US" w:eastAsia="zh-CN"/>
        </w:rPr>
        <w:t>新风</w:t>
      </w:r>
      <w:r>
        <w:rPr>
          <w:rFonts w:hint="eastAsia" w:ascii="宋体" w:hAnsi="宋体" w:eastAsia="宋体" w:cs="宋体"/>
          <w:b w:val="0"/>
          <w:bCs/>
          <w:sz w:val="24"/>
          <w:szCs w:val="24"/>
          <w:lang w:val="en-US" w:eastAsia="zh-CN"/>
        </w:rPr>
        <w:t>两类</w:t>
      </w:r>
      <w:r>
        <w:rPr>
          <w:rFonts w:hint="eastAsia" w:hAnsi="宋体" w:eastAsia="宋体" w:cs="宋体"/>
          <w:b w:val="0"/>
          <w:bCs/>
          <w:sz w:val="24"/>
          <w:szCs w:val="24"/>
          <w:lang w:val="en-US" w:eastAsia="zh-CN"/>
        </w:rPr>
        <w:t>，其中设备新风实施方式同16.6相关要求，</w:t>
      </w:r>
      <w:r>
        <w:rPr>
          <w:rFonts w:hint="eastAsia" w:ascii="宋体" w:hAnsi="宋体" w:eastAsia="宋体" w:cs="宋体"/>
          <w:b w:val="0"/>
          <w:bCs/>
          <w:sz w:val="24"/>
          <w:szCs w:val="24"/>
          <w:lang w:val="en-US" w:eastAsia="zh-CN"/>
        </w:rPr>
        <w:t>存在设备排风的试验间可参考前文工艺平面图及其附件图纸</w:t>
      </w:r>
      <w:r>
        <w:rPr>
          <w:rFonts w:hint="eastAsia" w:hAnsi="宋体" w:eastAsia="宋体" w:cs="宋体"/>
          <w:b w:val="0"/>
          <w:bCs/>
          <w:sz w:val="24"/>
          <w:szCs w:val="24"/>
          <w:lang w:val="en-US" w:eastAsia="zh-CN"/>
        </w:rPr>
        <w:t>，室内新风出风口高度以招标方吊顶装修为准。部分房间存在设备自房间取新风的情况，冷却液性能试验室有原子吸收罩2个及万向排风罩4个，通风量在300~400m³/h；润滑油性能试验室存在老式通风橱2个，老式通风橱的新风来自室内新风，通风量在300~500m³/h，原子吸收罩1个及万向排风罩1个，风量在300~400m³/h；阻燃试验室配有400mm*400mm尺寸的排烟管道，通风量按照最高不超过1200m³/h；气味雾化室存在桌面式排风罩3个（3000mm*900mm规格下通风量在600~800m³/h，该规格有2个，剩余1个为1500mm*900mm规格，通风量为300~400m³/h，上述排风罩上端风口尺寸为250mm）；VOC有机处理室存在3000mm*900mm规格的桌面式排风罩1个，通风量及上端风口尺寸如前述，1个试剂柜直抽，通风量可按300m³/h考虑；VOC分析室存在万向排风罩2个，通风量如前述，上端风口尺寸为110mm，上述试验室新风设计需同时满足室内及室内取新风的设备要求。上述为招标方原有设备，投标方需完成其与排风、补风系统的联动。</w:t>
      </w:r>
    </w:p>
    <w:p>
      <w:pPr>
        <w:pStyle w:val="19"/>
        <w:spacing w:line="360" w:lineRule="auto"/>
        <w:ind w:firstLine="480" w:firstLineChars="200"/>
        <w:rPr>
          <w:rFonts w:hint="eastAsia" w:hAnsi="宋体" w:eastAsia="宋体" w:cs="宋体"/>
          <w:b w:val="0"/>
          <w:bCs/>
          <w:sz w:val="24"/>
          <w:szCs w:val="24"/>
          <w:lang w:val="en-US" w:eastAsia="zh-CN"/>
        </w:rPr>
      </w:pPr>
      <w:r>
        <w:rPr>
          <w:rFonts w:hint="eastAsia" w:hAnsi="宋体" w:eastAsia="宋体" w:cs="宋体"/>
          <w:b w:val="0"/>
          <w:bCs/>
          <w:sz w:val="24"/>
          <w:szCs w:val="24"/>
          <w:lang w:val="en-US" w:eastAsia="zh-CN"/>
        </w:rPr>
        <w:t>16.8橡塑材料试验室的萃取试验间及</w:t>
      </w:r>
      <w:r>
        <w:rPr>
          <w:rFonts w:hint="eastAsia" w:hAnsi="宋体" w:eastAsia="宋体" w:cs="宋体"/>
          <w:bCs/>
          <w:sz w:val="24"/>
          <w:szCs w:val="24"/>
        </w:rPr>
        <w:t>金相、电镜试验室</w:t>
      </w:r>
      <w:r>
        <w:rPr>
          <w:rFonts w:hint="eastAsia" w:hAnsi="宋体" w:eastAsia="宋体" w:cs="宋体"/>
          <w:bCs/>
          <w:sz w:val="24"/>
          <w:szCs w:val="24"/>
          <w:lang w:val="en-US" w:eastAsia="zh-CN"/>
        </w:rPr>
        <w:t>各需新购配置</w:t>
      </w:r>
      <w:r>
        <w:rPr>
          <w:rFonts w:hint="eastAsia" w:hAnsi="宋体" w:eastAsia="宋体" w:cs="宋体"/>
          <w:b w:val="0"/>
          <w:bCs/>
          <w:sz w:val="24"/>
          <w:szCs w:val="24"/>
          <w:lang w:val="en-US" w:eastAsia="zh-CN"/>
        </w:rPr>
        <w:t>通风橱1个，通风量要求在300~500m³/h，柜体尺寸暂定为1500mm*900mm*2350mm左右，具体由招标方后续确定，非金属分析试验室需新购配置通风原子罩，通风量要求在300~400m³/h。</w:t>
      </w:r>
    </w:p>
    <w:p>
      <w:pPr>
        <w:pStyle w:val="19"/>
        <w:spacing w:line="360" w:lineRule="auto"/>
        <w:ind w:firstLine="480" w:firstLineChars="200"/>
        <w:rPr>
          <w:rFonts w:hint="eastAsia" w:hAnsi="宋体" w:eastAsia="宋体" w:cs="宋体"/>
          <w:bCs/>
          <w:sz w:val="24"/>
          <w:szCs w:val="24"/>
          <w:lang w:val="en-US" w:eastAsia="zh-CN"/>
        </w:rPr>
      </w:pPr>
      <w:r>
        <w:rPr>
          <w:rFonts w:hint="eastAsia" w:hAnsi="宋体" w:eastAsia="宋体" w:cs="宋体"/>
          <w:bCs/>
          <w:sz w:val="24"/>
          <w:szCs w:val="24"/>
          <w:lang w:val="en-US" w:eastAsia="zh-CN"/>
        </w:rPr>
        <w:t>16.9每个试验间环境排风/新风系统、设备排风/新风系统控制面板安装位置由招标方后续指定，控制面板需</w:t>
      </w:r>
      <w:r>
        <w:rPr>
          <w:rFonts w:hint="eastAsia" w:hAnsi="宋体" w:eastAsia="宋体" w:cs="宋体"/>
          <w:bCs/>
          <w:sz w:val="24"/>
          <w:szCs w:val="24"/>
        </w:rPr>
        <w:t>采用5寸24位真彩触摸屏</w:t>
      </w:r>
      <w:r>
        <w:rPr>
          <w:rFonts w:hint="eastAsia" w:hAnsi="宋体" w:eastAsia="宋体" w:cs="宋体"/>
          <w:bCs/>
          <w:sz w:val="24"/>
          <w:szCs w:val="24"/>
          <w:lang w:eastAsia="zh-CN"/>
        </w:rPr>
        <w:t>，</w:t>
      </w:r>
      <w:r>
        <w:rPr>
          <w:rFonts w:hint="eastAsia" w:hAnsi="宋体" w:eastAsia="宋体" w:cs="宋体"/>
          <w:bCs/>
          <w:sz w:val="24"/>
          <w:szCs w:val="24"/>
          <w:lang w:val="en-US" w:eastAsia="zh-CN"/>
        </w:rPr>
        <w:t>能够进行风机开关，显示风机运行状态、</w:t>
      </w:r>
      <w:r>
        <w:rPr>
          <w:rFonts w:hint="eastAsia" w:hAnsi="宋体" w:eastAsia="宋体" w:cs="宋体"/>
          <w:bCs/>
          <w:sz w:val="24"/>
          <w:szCs w:val="24"/>
        </w:rPr>
        <w:t>当前系统开启设备数量</w:t>
      </w:r>
      <w:r>
        <w:rPr>
          <w:rFonts w:hint="eastAsia" w:hAnsi="宋体" w:eastAsia="宋体" w:cs="宋体"/>
          <w:bCs/>
          <w:sz w:val="24"/>
          <w:szCs w:val="24"/>
          <w:lang w:val="en-US" w:eastAsia="zh-CN"/>
        </w:rPr>
        <w:t>以及通讯信息上传至系统控制柜，并具备熄屏功能。</w:t>
      </w:r>
    </w:p>
    <w:p>
      <w:pPr>
        <w:pStyle w:val="19"/>
        <w:spacing w:line="360" w:lineRule="auto"/>
        <w:ind w:firstLine="480" w:firstLineChars="200"/>
        <w:rPr>
          <w:rFonts w:hint="eastAsia" w:ascii="宋体" w:hAnsi="宋体" w:eastAsia="宋体" w:cs="宋体"/>
          <w:b w:val="0"/>
          <w:bCs/>
          <w:sz w:val="24"/>
          <w:szCs w:val="24"/>
          <w:lang w:val="en-US"/>
        </w:rPr>
      </w:pPr>
      <w:r>
        <w:rPr>
          <w:rFonts w:hint="eastAsia" w:ascii="宋体" w:hAnsi="宋体" w:eastAsia="宋体" w:cs="宋体"/>
          <w:b w:val="0"/>
          <w:bCs/>
          <w:sz w:val="24"/>
          <w:szCs w:val="24"/>
          <w:lang w:val="en-US"/>
        </w:rPr>
        <w:t>16.10本系统需考虑与阻燃试验室烟气处理系统、V0C各试验室中通风橱等设备通</w:t>
      </w:r>
    </w:p>
    <w:p>
      <w:pPr>
        <w:pStyle w:val="19"/>
        <w:spacing w:line="360" w:lineRule="auto"/>
        <w:ind w:firstLine="0" w:firstLineChars="0"/>
        <w:rPr>
          <w:rFonts w:hint="eastAsia" w:ascii="宋体" w:hAnsi="宋体"/>
          <w:b/>
          <w:sz w:val="28"/>
          <w:szCs w:val="24"/>
          <w:lang w:val="en-GB"/>
        </w:rPr>
      </w:pPr>
      <w:r>
        <w:rPr>
          <w:rFonts w:hint="eastAsia" w:ascii="宋体" w:hAnsi="宋体" w:eastAsia="宋体" w:cs="宋体"/>
          <w:b w:val="0"/>
          <w:bCs/>
          <w:sz w:val="24"/>
          <w:szCs w:val="24"/>
          <w:lang w:val="en-US"/>
        </w:rPr>
        <w:t>风口的接合。本系统需将风管口布置在上述各设备的上方，离地高度与天花板高度一致</w:t>
      </w:r>
      <w:r>
        <w:rPr>
          <w:rFonts w:hint="eastAsia" w:hAnsi="宋体" w:eastAsia="宋体" w:cs="宋体"/>
          <w:b w:val="0"/>
          <w:bCs/>
          <w:sz w:val="24"/>
          <w:szCs w:val="24"/>
          <w:lang w:val="en-US" w:eastAsia="zh-CN"/>
        </w:rPr>
        <w:t>并做好封堵以备设备就位后使用，风</w:t>
      </w:r>
      <w:r>
        <w:rPr>
          <w:rFonts w:hint="eastAsia" w:ascii="宋体" w:hAnsi="宋体" w:eastAsia="宋体" w:cs="宋体"/>
          <w:b w:val="0"/>
          <w:bCs/>
          <w:sz w:val="24"/>
          <w:szCs w:val="24"/>
          <w:lang w:val="en-US"/>
        </w:rPr>
        <w:t>管截面形状和尺寸需与烟气处理系统及通风橱风管尺寸一致。</w:t>
      </w:r>
      <w:r>
        <w:rPr>
          <w:rFonts w:hint="eastAsia" w:ascii="宋体" w:hAnsi="宋体"/>
          <w:b/>
          <w:sz w:val="28"/>
          <w:szCs w:val="24"/>
          <w:lang w:val="en-GB"/>
        </w:rPr>
        <w:br w:type="page"/>
      </w:r>
    </w:p>
    <w:p>
      <w:pPr>
        <w:adjustRightInd w:val="0"/>
        <w:snapToGrid w:val="0"/>
        <w:spacing w:line="360" w:lineRule="auto"/>
        <w:jc w:val="center"/>
        <w:rPr>
          <w:rFonts w:ascii="宋体" w:hAnsi="宋体"/>
          <w:b/>
          <w:sz w:val="28"/>
          <w:szCs w:val="24"/>
          <w:lang w:val="en-GB"/>
        </w:rPr>
      </w:pPr>
      <w:r>
        <w:rPr>
          <w:rFonts w:hint="eastAsia" w:ascii="宋体" w:hAnsi="宋体"/>
          <w:b/>
          <w:sz w:val="28"/>
          <w:szCs w:val="24"/>
          <w:lang w:val="en-GB"/>
        </w:rPr>
        <w:t>第三章  供货范围及供货方式</w:t>
      </w:r>
    </w:p>
    <w:p>
      <w:pPr>
        <w:pStyle w:val="3"/>
        <w:spacing w:before="120" w:after="120" w:line="360" w:lineRule="auto"/>
        <w:jc w:val="center"/>
        <w:rPr>
          <w:rFonts w:ascii="宋体" w:hAnsi="宋体" w:eastAsia="宋体"/>
          <w:b w:val="0"/>
          <w:sz w:val="24"/>
          <w:szCs w:val="24"/>
        </w:rPr>
      </w:pPr>
      <w:bookmarkStart w:id="38" w:name="_Toc9658381"/>
      <w:r>
        <w:rPr>
          <w:rFonts w:hint="eastAsia" w:ascii="宋体" w:hAnsi="宋体" w:eastAsia="宋体"/>
          <w:b w:val="0"/>
          <w:sz w:val="24"/>
          <w:szCs w:val="24"/>
        </w:rPr>
        <w:t>第一节  供货范围</w:t>
      </w:r>
      <w:bookmarkEnd w:id="38"/>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一、供货范围</w:t>
      </w: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招标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8、本条款所列的技术资料、图片、影像等，投标方应各提供5套，其中2套为电子版光（软）盘；每份技术文件应装有目录清单。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13"/>
        <w:rPr>
          <w:rFonts w:hint="eastAsia"/>
        </w:rPr>
      </w:pPr>
    </w:p>
    <w:p>
      <w:pPr>
        <w:pStyle w:val="3"/>
        <w:spacing w:before="120" w:after="120" w:line="360" w:lineRule="auto"/>
        <w:jc w:val="center"/>
        <w:rPr>
          <w:b w:val="0"/>
          <w:sz w:val="24"/>
          <w:szCs w:val="24"/>
        </w:rPr>
      </w:pPr>
      <w:bookmarkStart w:id="39" w:name="_Toc9658382"/>
      <w:r>
        <w:rPr>
          <w:rFonts w:hint="eastAsia"/>
          <w:b w:val="0"/>
          <w:sz w:val="24"/>
          <w:szCs w:val="24"/>
        </w:rPr>
        <w:t>第二节  供货方式</w:t>
      </w:r>
      <w:bookmarkEnd w:id="39"/>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二、供货地点：本项目建设工地。</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三、供货时间</w:t>
      </w:r>
      <w:r>
        <w:rPr>
          <w:rFonts w:hint="eastAsia" w:ascii="宋体" w:hAnsi="宋体" w:eastAsia="宋体" w:cs="宋体"/>
          <w:sz w:val="24"/>
          <w:szCs w:val="24"/>
          <w:lang w:eastAsia="zh-CN"/>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lang w:val="en-US" w:eastAsia="zh-CN"/>
        </w:rPr>
        <w:t>3</w:t>
      </w:r>
      <w:r>
        <w:rPr>
          <w:rFonts w:hint="eastAsia" w:ascii="宋体" w:hAnsi="宋体" w:eastAsia="宋体" w:cs="宋体"/>
          <w:sz w:val="24"/>
          <w:szCs w:val="24"/>
        </w:rPr>
        <w:t>个</w:t>
      </w:r>
      <w:r>
        <w:rPr>
          <w:rFonts w:hint="eastAsia" w:ascii="宋体" w:hAnsi="宋体" w:eastAsia="宋体" w:cs="宋体"/>
          <w:sz w:val="24"/>
          <w:szCs w:val="24"/>
          <w:lang w:val="en-US" w:eastAsia="zh-CN"/>
        </w:rPr>
        <w:t>月</w:t>
      </w:r>
      <w:r>
        <w:rPr>
          <w:rFonts w:hint="eastAsia" w:ascii="宋体" w:hAnsi="宋体" w:eastAsia="宋体" w:cs="宋体"/>
          <w:sz w:val="24"/>
          <w:szCs w:val="24"/>
        </w:rPr>
        <w:t>之内交货至供货地点。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3、终验收在</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个日历日之内完成（或协助完成）。</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安装调试时间或终验收时间超过规定时间的，投标方应当随标书提供详细的工期计划。</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rPr>
          <w:rFonts w:ascii="黑体" w:eastAsia="黑体"/>
          <w:sz w:val="24"/>
          <w:szCs w:val="24"/>
        </w:rPr>
      </w:pPr>
      <w:bookmarkStart w:id="40" w:name="_Toc9658383"/>
      <w:r>
        <w:rPr>
          <w:rFonts w:hint="eastAsia" w:ascii="黑体" w:eastAsia="黑体"/>
          <w:sz w:val="24"/>
          <w:szCs w:val="24"/>
        </w:rPr>
        <w:br w:type="page"/>
      </w:r>
    </w:p>
    <w:p>
      <w:pPr>
        <w:pStyle w:val="2"/>
        <w:spacing w:before="120" w:after="120" w:line="360" w:lineRule="auto"/>
        <w:jc w:val="center"/>
        <w:rPr>
          <w:rFonts w:ascii="宋体" w:hAnsi="宋体" w:cs="宋体"/>
          <w:b w:val="0"/>
          <w:sz w:val="28"/>
          <w:szCs w:val="28"/>
        </w:rPr>
      </w:pPr>
      <w:r>
        <w:rPr>
          <w:rFonts w:hint="eastAsia" w:ascii="宋体" w:hAnsi="宋体" w:cs="宋体"/>
          <w:b w:val="0"/>
          <w:sz w:val="28"/>
          <w:szCs w:val="28"/>
        </w:rPr>
        <w:t>第四章  质保期及售后服务</w:t>
      </w:r>
      <w:bookmarkEnd w:id="4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一、质保期及质保要求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lang w:val="en-US" w:eastAsia="zh-CN"/>
        </w:rPr>
        <w:t>12</w:t>
      </w:r>
      <w:r>
        <w:rPr>
          <w:rFonts w:hint="eastAsia" w:ascii="宋体" w:hAnsi="宋体" w:eastAsia="宋体" w:cs="宋体"/>
          <w:sz w:val="24"/>
          <w:szCs w:val="24"/>
        </w:rPr>
        <w:t>个月。</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lang w:val="en-US" w:eastAsia="zh-CN"/>
        </w:rPr>
        <w:t>7</w:t>
      </w:r>
      <w:r>
        <w:rPr>
          <w:rFonts w:hint="eastAsia" w:ascii="宋体" w:hAnsi="宋体" w:eastAsia="宋体" w:cs="宋体"/>
          <w:sz w:val="24"/>
          <w:szCs w:val="24"/>
        </w:rPr>
        <w:t>个日历日。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、若投标方提供货物涉及到外购外协货物、而且该货物的技术质量等较为关键时，投标方应能保证得到配套厂家的技术支持，并免费为招标方提供技术服务。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lang w:val="en-US" w:eastAsia="zh-CN"/>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lang w:val="en-US" w:eastAsia="zh-CN"/>
        </w:rPr>
        <w:t>48</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1、若投标方所提供货物有需要进口的，投标方一般应自行、自费办理；必要时，买卖双方共同办理。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pPr>
        <w:rPr>
          <w:rFonts w:ascii="黑体" w:eastAsia="黑体"/>
          <w:szCs w:val="24"/>
        </w:rPr>
      </w:pPr>
      <w:r>
        <w:rPr>
          <w:rFonts w:hint="eastAsia" w:ascii="黑体" w:eastAsia="黑体"/>
          <w:szCs w:val="24"/>
        </w:rPr>
        <w:br w:type="page"/>
      </w:r>
    </w:p>
    <w:p>
      <w:pPr>
        <w:spacing w:line="360" w:lineRule="auto"/>
        <w:jc w:val="center"/>
        <w:rPr>
          <w:rFonts w:ascii="宋体" w:hAnsi="宋体" w:cs="宋体"/>
          <w:sz w:val="28"/>
          <w:szCs w:val="36"/>
        </w:rPr>
      </w:pPr>
      <w:r>
        <w:rPr>
          <w:rFonts w:hint="eastAsia" w:ascii="宋体" w:hAnsi="宋体" w:cs="宋体"/>
          <w:sz w:val="28"/>
          <w:szCs w:val="36"/>
        </w:rPr>
        <w:t>第五章  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一、验收依据和验收标准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三、验收条件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验收在安装调试完成及试运行后的招标方现场进行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招投标</w:t>
      </w:r>
      <w:r>
        <w:rPr>
          <w:rFonts w:hint="eastAsia" w:ascii="宋体" w:hAnsi="宋体" w:eastAsia="宋体" w:cs="宋体"/>
          <w:color w:val="auto"/>
          <w:sz w:val="24"/>
          <w:szCs w:val="24"/>
        </w:rPr>
        <w:t>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1、验收一般条件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1.1投标方已经按照“供货范围”要求提供了预验收资料，并且资料齐全、完整和有效。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货物安装调试完毕，并至少经过了验收要求的负荷试运行。</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1.5货物的润滑系统工作正常、可靠，润滑点易于到达。</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1.6使用的压力容器、电气等应具备合格证（如果有压力容器）。</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1.8货物标牌完整、清晰、明确。</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1.9地线联接和地极符合国际（ISO/IEC）标准规范。</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1.10货物的安全要求符合中国最新的相关法律、法规、标准和规范以及合同要求。</w:t>
      </w:r>
    </w:p>
    <w:p>
      <w:pPr>
        <w:numPr>
          <w:ilvl w:val="0"/>
          <w:numId w:val="14"/>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sz w:val="24"/>
          <w:szCs w:val="24"/>
        </w:rPr>
        <w:t>验收</w:t>
      </w:r>
      <w:r>
        <w:rPr>
          <w:rFonts w:hint="eastAsia" w:ascii="宋体" w:hAnsi="宋体" w:eastAsia="宋体" w:cs="宋体"/>
          <w:sz w:val="24"/>
          <w:szCs w:val="24"/>
          <w:lang w:val="en-US" w:eastAsia="zh-CN"/>
        </w:rPr>
        <w:t>标准</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eastAsia" w:hAnsi="宋体" w:eastAsia="宋体" w:cs="宋体"/>
          <w:sz w:val="24"/>
          <w:szCs w:val="24"/>
          <w:lang w:val="en-US" w:eastAsia="zh-CN"/>
        </w:rPr>
        <w:t>2.1</w:t>
      </w:r>
      <w:r>
        <w:rPr>
          <w:rFonts w:hint="default" w:hAnsi="宋体" w:eastAsia="宋体" w:cs="宋体"/>
          <w:sz w:val="24"/>
          <w:szCs w:val="24"/>
          <w:lang w:val="en-US" w:eastAsia="zh-CN"/>
        </w:rPr>
        <w:t>排风效果良好，</w:t>
      </w:r>
      <w:r>
        <w:rPr>
          <w:rFonts w:hint="eastAsia" w:hAnsi="宋体" w:eastAsia="宋体" w:cs="宋体"/>
          <w:sz w:val="24"/>
          <w:szCs w:val="24"/>
          <w:lang w:val="en-US" w:eastAsia="zh-CN"/>
        </w:rPr>
        <w:t>试验</w:t>
      </w:r>
      <w:r>
        <w:rPr>
          <w:rFonts w:hint="default" w:hAnsi="宋体" w:eastAsia="宋体" w:cs="宋体"/>
          <w:sz w:val="24"/>
          <w:szCs w:val="24"/>
          <w:lang w:val="en-US" w:eastAsia="zh-CN"/>
        </w:rPr>
        <w:t>室内无明显异味。</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default" w:hAnsi="宋体" w:eastAsia="宋体" w:cs="宋体"/>
          <w:sz w:val="24"/>
          <w:szCs w:val="24"/>
          <w:lang w:val="en-US" w:eastAsia="zh-CN"/>
        </w:rPr>
        <w:t>2.</w:t>
      </w:r>
      <w:r>
        <w:rPr>
          <w:rFonts w:hint="eastAsia" w:hAnsi="宋体" w:eastAsia="宋体" w:cs="宋体"/>
          <w:sz w:val="24"/>
          <w:szCs w:val="24"/>
          <w:lang w:val="en-US" w:eastAsia="zh-CN"/>
        </w:rPr>
        <w:t>2</w:t>
      </w:r>
      <w:r>
        <w:rPr>
          <w:rFonts w:hint="default" w:hAnsi="宋体" w:eastAsia="宋体" w:cs="宋体"/>
          <w:sz w:val="24"/>
          <w:szCs w:val="24"/>
          <w:lang w:val="en-US" w:eastAsia="zh-CN"/>
        </w:rPr>
        <w:t>系统全开，</w:t>
      </w:r>
      <w:r>
        <w:rPr>
          <w:rFonts w:hint="eastAsia" w:hAnsi="宋体" w:eastAsia="宋体" w:cs="宋体"/>
          <w:sz w:val="24"/>
          <w:szCs w:val="24"/>
          <w:lang w:val="en-US" w:eastAsia="zh-CN"/>
        </w:rPr>
        <w:t>试验</w:t>
      </w:r>
      <w:r>
        <w:rPr>
          <w:rFonts w:hint="default" w:hAnsi="宋体" w:eastAsia="宋体" w:cs="宋体"/>
          <w:sz w:val="24"/>
          <w:szCs w:val="24"/>
          <w:lang w:val="en-US" w:eastAsia="zh-CN"/>
        </w:rPr>
        <w:t>室内噪音小于50dB。</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lang w:val="en-US" w:eastAsia="zh-CN"/>
        </w:rPr>
        <w:t>2.3</w:t>
      </w:r>
      <w:r>
        <w:rPr>
          <w:rFonts w:hint="eastAsia" w:hAnsi="宋体" w:eastAsia="宋体" w:cs="宋体"/>
          <w:sz w:val="24"/>
          <w:szCs w:val="24"/>
        </w:rPr>
        <w:t>烟气连通运行时，货物应接受环保局或者具备相关资质的第三方进行进行环保检测，检测结果达到环保批复、法规等技术要求，具体参照前述所执行环保标准。同时噪声等环境影响因素满足国家和当地环保主管部门规定，安全措施落实、有效。</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4</w:t>
      </w:r>
      <w:r>
        <w:rPr>
          <w:rFonts w:hint="eastAsia" w:hAnsi="宋体" w:eastAsia="宋体" w:cs="宋体"/>
          <w:sz w:val="24"/>
          <w:szCs w:val="24"/>
        </w:rPr>
        <w:t>所配备的传感器等计量仪器、仪表配套合理，采用中国的法定计量单位，计量准确、灵敏可靠，能够实现预期的技术要求。</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5</w:t>
      </w:r>
      <w:r>
        <w:rPr>
          <w:rFonts w:hint="eastAsia" w:hAnsi="宋体" w:eastAsia="宋体" w:cs="宋体"/>
          <w:sz w:val="24"/>
          <w:szCs w:val="24"/>
        </w:rPr>
        <w:t>控制系统运行稳定可靠，能够实现前述远程控制、状态监测、故障报警等功能。</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6</w:t>
      </w:r>
      <w:r>
        <w:rPr>
          <w:rFonts w:hint="eastAsia" w:hAnsi="宋体" w:eastAsia="宋体" w:cs="宋体"/>
          <w:sz w:val="24"/>
          <w:szCs w:val="24"/>
        </w:rPr>
        <w:t>试运行期间或之后无维修、调整等行为（特殊情况除外）</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7</w:t>
      </w:r>
      <w:r>
        <w:rPr>
          <w:rFonts w:hint="eastAsia" w:hAnsi="宋体" w:eastAsia="宋体" w:cs="宋体"/>
          <w:sz w:val="24"/>
          <w:szCs w:val="24"/>
        </w:rPr>
        <w:t>验收原则上要求一次完成。若一次验收不成功，最多允许两次；如果出现第三次验收失败，重新作价或退货；</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eastAsia" w:hAnsi="宋体" w:eastAsia="宋体" w:cs="宋体"/>
          <w:sz w:val="24"/>
          <w:szCs w:val="24"/>
        </w:rPr>
        <w:t>2.</w:t>
      </w:r>
      <w:r>
        <w:rPr>
          <w:rFonts w:hint="eastAsia" w:hAnsi="宋体" w:eastAsia="宋体" w:cs="宋体"/>
          <w:sz w:val="24"/>
          <w:szCs w:val="24"/>
          <w:lang w:val="en-US" w:eastAsia="zh-CN"/>
        </w:rPr>
        <w:t>8</w:t>
      </w:r>
      <w:r>
        <w:rPr>
          <w:rFonts w:hint="eastAsia" w:hAnsi="宋体" w:eastAsia="宋体" w:cs="宋体"/>
          <w:sz w:val="24"/>
          <w:szCs w:val="24"/>
        </w:rPr>
        <w:t>验收通过后买卖双方共同签署验收报告，并移交、核对全部供货范围内物品</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eastAsia" w:hAnsi="宋体" w:eastAsia="宋体" w:cs="宋体"/>
          <w:sz w:val="24"/>
          <w:szCs w:val="24"/>
          <w:lang w:val="en-US" w:eastAsia="zh-CN"/>
        </w:rPr>
        <w:t>2.9试验室</w:t>
      </w:r>
      <w:r>
        <w:rPr>
          <w:rFonts w:hint="default" w:hAnsi="宋体" w:eastAsia="宋体" w:cs="宋体"/>
          <w:sz w:val="24"/>
          <w:szCs w:val="24"/>
          <w:lang w:val="en-US" w:eastAsia="zh-CN"/>
        </w:rPr>
        <w:t>系统全部运行半小时后，</w:t>
      </w:r>
      <w:r>
        <w:rPr>
          <w:rFonts w:hint="eastAsia" w:hAnsi="宋体" w:eastAsia="宋体" w:cs="宋体"/>
          <w:sz w:val="24"/>
          <w:szCs w:val="24"/>
          <w:lang w:val="en-US" w:eastAsia="zh-CN"/>
        </w:rPr>
        <w:t>试验室</w:t>
      </w:r>
      <w:r>
        <w:rPr>
          <w:rFonts w:hint="default" w:hAnsi="宋体" w:eastAsia="宋体" w:cs="宋体"/>
          <w:sz w:val="24"/>
          <w:szCs w:val="24"/>
          <w:lang w:val="en-US" w:eastAsia="zh-CN"/>
        </w:rPr>
        <w:t>内温度无变化，</w:t>
      </w:r>
      <w:r>
        <w:rPr>
          <w:rFonts w:hint="eastAsia" w:hAnsi="宋体" w:eastAsia="宋体" w:cs="宋体"/>
          <w:sz w:val="24"/>
          <w:szCs w:val="24"/>
          <w:lang w:val="en-US" w:eastAsia="zh-CN"/>
        </w:rPr>
        <w:t>试验室</w:t>
      </w:r>
      <w:r>
        <w:rPr>
          <w:rFonts w:hint="default" w:hAnsi="宋体" w:eastAsia="宋体" w:cs="宋体"/>
          <w:sz w:val="24"/>
          <w:szCs w:val="24"/>
          <w:lang w:val="en-US" w:eastAsia="zh-CN"/>
        </w:rPr>
        <w:t>内温度（夏季≤26℃、冬季≥22℃</w:t>
      </w:r>
    </w:p>
    <w:p>
      <w:pPr>
        <w:rPr>
          <w:rFonts w:ascii="黑体" w:eastAsia="黑体"/>
          <w:sz w:val="24"/>
          <w:szCs w:val="24"/>
        </w:rPr>
      </w:pPr>
      <w:bookmarkStart w:id="41" w:name="_Toc9658384"/>
      <w:r>
        <w:rPr>
          <w:rFonts w:hint="eastAsia" w:ascii="黑体" w:eastAsia="黑体"/>
          <w:sz w:val="24"/>
          <w:szCs w:val="24"/>
        </w:rPr>
        <w:br w:type="page"/>
      </w:r>
    </w:p>
    <w:p>
      <w:pPr>
        <w:pStyle w:val="2"/>
        <w:spacing w:before="120" w:after="120" w:line="360" w:lineRule="auto"/>
        <w:jc w:val="center"/>
        <w:rPr>
          <w:rFonts w:ascii="宋体" w:hAnsi="宋体" w:cs="宋体"/>
          <w:b w:val="0"/>
          <w:sz w:val="28"/>
          <w:szCs w:val="28"/>
        </w:rPr>
      </w:pPr>
      <w:r>
        <w:rPr>
          <w:rFonts w:hint="eastAsia" w:ascii="宋体" w:hAnsi="宋体" w:cs="宋体"/>
          <w:b w:val="0"/>
          <w:sz w:val="28"/>
          <w:szCs w:val="28"/>
        </w:rPr>
        <w:t>第六章  投标技术文件一般要求</w:t>
      </w:r>
      <w:bookmarkEnd w:id="41"/>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rPr>
        <w:t>6.1</w:t>
      </w:r>
      <w:r>
        <w:rPr>
          <w:rFonts w:hint="eastAsia" w:ascii="宋体" w:hAnsi="宋体" w:eastAsia="宋体" w:cs="宋体"/>
          <w:sz w:val="24"/>
          <w:szCs w:val="24"/>
          <w:highlight w:val="green"/>
        </w:rPr>
        <w:t>投标货物配置一览表：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投标货物配置一览表          单位：元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bl>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pPr>
              <w:adjustRightInd w:val="0"/>
              <w:snapToGrid w:val="0"/>
              <w:spacing w:line="360" w:lineRule="auto"/>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应当尽可能将货物的配置列全、列细，这将有助于投标方胜出。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1、货物配置一览表合计价以及备品备件、易损件和专用耗材明细表合计价应当在投标总报价内对应重现而且应当数据准确。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其中，质保期之内需要的备品备件、易损件和专用耗材，需要在配置一览表内单独分类列出并计入货物配置一览表合计价。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rPr>
          <w:rFonts w:ascii="黑体" w:eastAsia="黑体"/>
          <w:sz w:val="24"/>
          <w:szCs w:val="24"/>
        </w:rPr>
      </w:pPr>
      <w:bookmarkStart w:id="42" w:name="_Toc9658385"/>
      <w:r>
        <w:rPr>
          <w:rFonts w:hint="eastAsia" w:ascii="黑体" w:eastAsia="黑体"/>
          <w:sz w:val="24"/>
          <w:szCs w:val="24"/>
        </w:rPr>
        <w:br w:type="page"/>
      </w:r>
    </w:p>
    <w:p>
      <w:pPr>
        <w:pStyle w:val="2"/>
        <w:spacing w:before="120" w:after="120" w:line="360" w:lineRule="auto"/>
        <w:jc w:val="center"/>
        <w:rPr>
          <w:rFonts w:ascii="宋体" w:hAnsi="宋体" w:cs="宋体"/>
          <w:b w:val="0"/>
          <w:sz w:val="28"/>
          <w:szCs w:val="28"/>
        </w:rPr>
      </w:pPr>
      <w:r>
        <w:rPr>
          <w:rFonts w:hint="eastAsia" w:ascii="宋体" w:hAnsi="宋体" w:cs="宋体"/>
          <w:b w:val="0"/>
          <w:sz w:val="28"/>
          <w:szCs w:val="28"/>
        </w:rPr>
        <w:t>第七章  其它要求及说明</w:t>
      </w:r>
      <w:bookmarkEnd w:id="4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一、要求</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相关类似案例的合同原始证明（采用天然气/柴油加热方式）、相关案例的验收检测报告，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二、说明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bookmarkEnd w:id="34"/>
    <w:p>
      <w:pPr>
        <w:pStyle w:val="19"/>
      </w:pPr>
    </w:p>
    <w:p>
      <w:pPr>
        <w:spacing w:line="360" w:lineRule="auto"/>
        <w:jc w:val="center"/>
        <w:outlineLvl w:val="0"/>
        <w:rPr>
          <w:rFonts w:ascii="宋体" w:hAnsi="Calibri" w:eastAsia="宋体" w:cs="Times New Roman"/>
          <w:b/>
          <w:sz w:val="36"/>
          <w:szCs w:val="36"/>
        </w:rPr>
      </w:pPr>
      <w:bookmarkStart w:id="43" w:name="_Toc6642"/>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9"/>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44" w:name="_Toc11823"/>
      <w:bookmarkStart w:id="45" w:name="_Toc9465"/>
      <w:bookmarkStart w:id="46" w:name="_Toc11930"/>
      <w:bookmarkStart w:id="47" w:name="_Toc17619"/>
      <w:bookmarkStart w:id="48" w:name="_Toc16330018"/>
      <w:r>
        <w:rPr>
          <w:rFonts w:hint="eastAsia" w:ascii="黑体" w:hAnsi="黑体" w:eastAsia="黑体" w:cstheme="minorEastAsia"/>
          <w:b w:val="0"/>
          <w:sz w:val="28"/>
          <w:szCs w:val="28"/>
        </w:rPr>
        <w:t>1 合同设备</w:t>
      </w:r>
      <w:bookmarkEnd w:id="44"/>
      <w:bookmarkEnd w:id="45"/>
      <w:bookmarkEnd w:id="46"/>
      <w:bookmarkEnd w:id="47"/>
      <w:bookmarkEnd w:id="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9" w:name="_Toc32510"/>
      <w:bookmarkStart w:id="50" w:name="_Toc22800"/>
      <w:bookmarkStart w:id="51"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52" w:name="_Toc16330019"/>
      <w:bookmarkStart w:id="53" w:name="_Toc7716"/>
      <w:r>
        <w:rPr>
          <w:rFonts w:hint="eastAsia" w:ascii="黑体" w:hAnsi="黑体" w:eastAsia="黑体" w:cstheme="minorEastAsia"/>
          <w:b w:val="0"/>
          <w:sz w:val="28"/>
          <w:szCs w:val="28"/>
        </w:rPr>
        <w:t>2 包装</w:t>
      </w:r>
      <w:bookmarkEnd w:id="49"/>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54" w:name="_Toc16330020"/>
      <w:bookmarkStart w:id="55" w:name="_Toc27144"/>
      <w:bookmarkStart w:id="56" w:name="_Toc27453"/>
      <w:bookmarkStart w:id="57" w:name="_Toc2833"/>
      <w:bookmarkStart w:id="58" w:name="_Toc30507"/>
      <w:r>
        <w:rPr>
          <w:rFonts w:hint="eastAsia" w:ascii="黑体" w:hAnsi="黑体" w:eastAsia="黑体" w:cstheme="minorEastAsia"/>
          <w:b w:val="0"/>
          <w:sz w:val="28"/>
          <w:szCs w:val="28"/>
        </w:rPr>
        <w:t>3 运输标记</w:t>
      </w:r>
      <w:bookmarkEnd w:id="54"/>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59" w:name="_Toc16133"/>
      <w:bookmarkStart w:id="60" w:name="_Toc16330021"/>
      <w:bookmarkStart w:id="61" w:name="_Toc8624"/>
      <w:bookmarkStart w:id="62" w:name="_Toc7431"/>
      <w:bookmarkStart w:id="63" w:name="_Toc10630"/>
      <w:r>
        <w:rPr>
          <w:rFonts w:hint="eastAsia" w:ascii="黑体" w:hAnsi="黑体" w:eastAsia="黑体" w:cstheme="minorEastAsia"/>
          <w:b w:val="0"/>
          <w:sz w:val="28"/>
          <w:szCs w:val="28"/>
        </w:rPr>
        <w:t>4 检验</w:t>
      </w:r>
      <w:bookmarkEnd w:id="59"/>
      <w:bookmarkEnd w:id="60"/>
      <w:bookmarkEnd w:id="61"/>
      <w:bookmarkEnd w:id="62"/>
      <w:bookmarkEnd w:id="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4" w:name="_Toc16330022"/>
      <w:bookmarkStart w:id="65" w:name="_Toc11217"/>
      <w:bookmarkStart w:id="66" w:name="_Toc19850"/>
      <w:bookmarkStart w:id="67" w:name="_Toc24467"/>
      <w:bookmarkStart w:id="68" w:name="_Toc14275"/>
      <w:r>
        <w:rPr>
          <w:rFonts w:hint="eastAsia" w:ascii="黑体" w:hAnsi="黑体" w:eastAsia="黑体" w:cstheme="minorEastAsia"/>
          <w:b w:val="0"/>
          <w:sz w:val="28"/>
          <w:szCs w:val="28"/>
        </w:rPr>
        <w:t>5 权利担保</w:t>
      </w:r>
      <w:bookmarkEnd w:id="64"/>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9" w:name="_Toc16330023"/>
      <w:bookmarkStart w:id="70" w:name="_Toc20827"/>
      <w:bookmarkStart w:id="71" w:name="_Toc14809"/>
      <w:bookmarkStart w:id="72" w:name="_Toc27500"/>
      <w:bookmarkStart w:id="73" w:name="_Toc11759"/>
      <w:r>
        <w:rPr>
          <w:rFonts w:hint="eastAsia" w:ascii="黑体" w:hAnsi="黑体" w:eastAsia="黑体" w:cstheme="minorEastAsia"/>
          <w:b w:val="0"/>
          <w:sz w:val="28"/>
          <w:szCs w:val="28"/>
        </w:rPr>
        <w:t>6 交货</w:t>
      </w:r>
      <w:bookmarkEnd w:id="69"/>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4" w:name="_Toc2984"/>
      <w:bookmarkStart w:id="75" w:name="_Toc23308"/>
      <w:bookmarkStart w:id="76" w:name="_Toc8024"/>
      <w:bookmarkStart w:id="77" w:name="_Toc16330024"/>
      <w:bookmarkStart w:id="78" w:name="_Toc25510"/>
      <w:r>
        <w:rPr>
          <w:rFonts w:hint="eastAsia" w:ascii="黑体" w:hAnsi="黑体" w:eastAsia="黑体" w:cstheme="minorEastAsia"/>
          <w:b w:val="0"/>
          <w:sz w:val="28"/>
          <w:szCs w:val="28"/>
        </w:rPr>
        <w:t>7 安装、调试</w:t>
      </w:r>
      <w:bookmarkEnd w:id="74"/>
      <w:bookmarkEnd w:id="75"/>
      <w:bookmarkEnd w:id="76"/>
      <w:bookmarkEnd w:id="77"/>
      <w:bookmarkEnd w:id="78"/>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9" w:name="_Toc16330025"/>
      <w:bookmarkStart w:id="80" w:name="_Toc15547"/>
      <w:bookmarkStart w:id="81" w:name="_Toc14098"/>
      <w:bookmarkStart w:id="82" w:name="_Toc14260"/>
      <w:bookmarkStart w:id="83" w:name="_Toc6350"/>
      <w:r>
        <w:rPr>
          <w:rFonts w:hint="eastAsia" w:ascii="黑体" w:hAnsi="黑体" w:eastAsia="黑体" w:cstheme="minorEastAsia"/>
          <w:b w:val="0"/>
          <w:sz w:val="28"/>
          <w:szCs w:val="28"/>
        </w:rPr>
        <w:t>8 价款与支付</w:t>
      </w:r>
      <w:bookmarkEnd w:id="79"/>
      <w:bookmarkEnd w:id="80"/>
      <w:bookmarkEnd w:id="81"/>
      <w:bookmarkEnd w:id="82"/>
      <w:bookmarkEnd w:id="8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w:t>
      </w:r>
      <w:r>
        <w:rPr>
          <w:rFonts w:hint="eastAsia" w:ascii="仿宋_GB2312" w:hAnsi="黑体" w:eastAsia="仿宋_GB2312" w:cstheme="minorEastAsia"/>
          <w:sz w:val="24"/>
          <w:szCs w:val="24"/>
          <w:lang w:val="en-US" w:eastAsia="zh-CN"/>
        </w:rPr>
        <w:t>15</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%的收据（正本一份，复印件二份）及合同价</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25</w:t>
      </w:r>
      <w:r>
        <w:rPr>
          <w:rFonts w:hint="eastAsia" w:ascii="仿宋_GB2312" w:hAnsi="黑体" w:eastAsia="仿宋_GB2312" w:cstheme="minorEastAsia"/>
          <w:sz w:val="24"/>
          <w:szCs w:val="24"/>
        </w:rPr>
        <w:t>%的收据及合同价40%增值税专用发票（税率为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4" w:name="_Toc14676804"/>
      <w:bookmarkStart w:id="85"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84"/>
      <w:bookmarkEnd w:id="85"/>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6" w:name="_Toc21726"/>
      <w:bookmarkStart w:id="87" w:name="_Toc24085"/>
      <w:bookmarkStart w:id="88" w:name="_Toc25708"/>
      <w:bookmarkStart w:id="89" w:name="_Toc6726"/>
      <w:bookmarkStart w:id="90" w:name="_Toc16330026"/>
      <w:r>
        <w:rPr>
          <w:rFonts w:hint="eastAsia" w:ascii="黑体" w:hAnsi="黑体" w:eastAsia="黑体" w:cstheme="minorEastAsia"/>
          <w:b w:val="0"/>
          <w:sz w:val="28"/>
          <w:szCs w:val="28"/>
        </w:rPr>
        <w:t>9 质量保证及售后服务</w:t>
      </w:r>
      <w:bookmarkEnd w:id="86"/>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1" w:name="_Toc15570"/>
      <w:bookmarkStart w:id="92" w:name="_Toc16330027"/>
      <w:bookmarkStart w:id="93" w:name="_Toc26769"/>
      <w:bookmarkStart w:id="94" w:name="_Toc10359"/>
      <w:bookmarkStart w:id="95" w:name="_Toc12927"/>
      <w:r>
        <w:rPr>
          <w:rFonts w:hint="eastAsia" w:ascii="黑体" w:hAnsi="黑体" w:eastAsia="黑体" w:cstheme="minorEastAsia"/>
          <w:b w:val="0"/>
          <w:sz w:val="28"/>
          <w:szCs w:val="28"/>
        </w:rPr>
        <w:t>10法定责任</w:t>
      </w:r>
      <w:bookmarkEnd w:id="91"/>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6" w:name="_Toc27314"/>
      <w:bookmarkStart w:id="97" w:name="_Toc16330028"/>
      <w:bookmarkStart w:id="98" w:name="_Toc9708"/>
      <w:bookmarkStart w:id="99" w:name="_Toc7698"/>
      <w:bookmarkStart w:id="100" w:name="_Toc30381"/>
      <w:r>
        <w:rPr>
          <w:rFonts w:hint="eastAsia" w:ascii="黑体" w:hAnsi="黑体" w:eastAsia="黑体" w:cstheme="minorEastAsia"/>
          <w:b w:val="0"/>
          <w:sz w:val="28"/>
          <w:szCs w:val="28"/>
        </w:rPr>
        <w:t>11 违约责任</w:t>
      </w:r>
      <w:bookmarkEnd w:id="96"/>
      <w:bookmarkEnd w:id="97"/>
      <w:bookmarkEnd w:id="98"/>
      <w:bookmarkEnd w:id="99"/>
      <w:bookmarkEnd w:id="10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1" w:name="_Toc16330029"/>
      <w:bookmarkStart w:id="102" w:name="_Toc31554"/>
      <w:bookmarkStart w:id="103" w:name="_Toc9172"/>
      <w:bookmarkStart w:id="104"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1"/>
    <w:bookmarkEnd w:id="102"/>
    <w:bookmarkEnd w:id="103"/>
    <w:bookmarkEnd w:id="104"/>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5" w:name="_Toc23793"/>
      <w:r>
        <w:rPr>
          <w:rFonts w:hint="eastAsia" w:ascii="黑体" w:hAnsi="黑体" w:eastAsia="黑体" w:cstheme="minorEastAsia"/>
          <w:b w:val="0"/>
          <w:sz w:val="28"/>
          <w:szCs w:val="28"/>
        </w:rPr>
        <w:t>12 合同的终止与解除</w:t>
      </w:r>
      <w:bookmarkEnd w:id="10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6" w:name="_Toc16330030"/>
      <w:bookmarkStart w:id="107" w:name="_Toc13671"/>
      <w:bookmarkStart w:id="108" w:name="_Toc8620"/>
      <w:bookmarkStart w:id="109" w:name="_Toc11937"/>
      <w:bookmarkStart w:id="110" w:name="_Toc31945"/>
      <w:r>
        <w:rPr>
          <w:rFonts w:hint="eastAsia" w:ascii="黑体" w:hAnsi="黑体" w:eastAsia="黑体" w:cstheme="minorEastAsia"/>
          <w:b w:val="0"/>
          <w:sz w:val="28"/>
          <w:szCs w:val="28"/>
        </w:rPr>
        <w:t>13 不可抗力</w:t>
      </w:r>
      <w:bookmarkEnd w:id="106"/>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1" w:name="_Toc16330031"/>
      <w:bookmarkStart w:id="112" w:name="_Toc18772"/>
      <w:bookmarkStart w:id="113" w:name="_Toc30389"/>
      <w:bookmarkStart w:id="114" w:name="_Toc31243"/>
      <w:bookmarkStart w:id="115" w:name="_Toc637"/>
      <w:r>
        <w:rPr>
          <w:rFonts w:hint="eastAsia" w:ascii="黑体" w:hAnsi="黑体" w:eastAsia="黑体" w:cstheme="minorEastAsia"/>
          <w:b w:val="0"/>
          <w:sz w:val="28"/>
          <w:szCs w:val="28"/>
        </w:rPr>
        <w:t>14 通讯</w:t>
      </w:r>
      <w:bookmarkEnd w:id="111"/>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sz w:val="28"/>
          <w:szCs w:val="28"/>
        </w:rPr>
      </w:pPr>
      <w:bookmarkStart w:id="116" w:name="_Toc11290"/>
      <w:bookmarkStart w:id="117" w:name="_Toc9915"/>
      <w:bookmarkStart w:id="118" w:name="_Toc12984"/>
      <w:bookmarkStart w:id="119" w:name="_Toc16330032"/>
      <w:bookmarkStart w:id="120" w:name="_Toc23011"/>
      <w:r>
        <w:rPr>
          <w:rFonts w:hint="eastAsia" w:ascii="黑体" w:hAnsi="黑体" w:eastAsia="黑体" w:cstheme="minorEastAsia"/>
          <w:b w:val="0"/>
          <w:sz w:val="28"/>
          <w:szCs w:val="28"/>
        </w:rPr>
        <w:t>15 适用法律及争议解决</w:t>
      </w:r>
      <w:bookmarkEnd w:id="116"/>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1" w:name="_Toc18207"/>
      <w:bookmarkStart w:id="122" w:name="_Toc23765"/>
      <w:bookmarkStart w:id="123" w:name="_Toc5747"/>
      <w:bookmarkStart w:id="124" w:name="_Toc16330033"/>
      <w:bookmarkStart w:id="125" w:name="_Toc23906"/>
      <w:r>
        <w:rPr>
          <w:rFonts w:hint="eastAsia" w:ascii="黑体" w:hAnsi="黑体" w:eastAsia="黑体" w:cstheme="minorEastAsia"/>
          <w:b w:val="0"/>
          <w:sz w:val="28"/>
          <w:szCs w:val="28"/>
        </w:rPr>
        <w:t>16 附件</w:t>
      </w:r>
      <w:bookmarkEnd w:id="121"/>
      <w:bookmarkEnd w:id="122"/>
      <w:bookmarkEnd w:id="123"/>
      <w:bookmarkEnd w:id="124"/>
      <w:bookmarkEnd w:id="1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6" w:name="_Toc17656"/>
      <w:bookmarkStart w:id="127" w:name="_Toc16330034"/>
      <w:bookmarkStart w:id="128" w:name="_Toc9594"/>
      <w:bookmarkStart w:id="129" w:name="_Toc31331"/>
      <w:bookmarkStart w:id="130" w:name="_Toc27202"/>
      <w:r>
        <w:rPr>
          <w:rFonts w:hint="eastAsia" w:ascii="黑体" w:hAnsi="黑体" w:eastAsia="黑体" w:cstheme="minorEastAsia"/>
          <w:b w:val="0"/>
          <w:sz w:val="28"/>
          <w:szCs w:val="28"/>
        </w:rPr>
        <w:t>17 其他规定</w:t>
      </w:r>
      <w:bookmarkEnd w:id="126"/>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1" w:name="_Toc29136"/>
      <w:bookmarkStart w:id="132" w:name="_Toc17952"/>
      <w:bookmarkStart w:id="133" w:name="_Toc19077"/>
      <w:bookmarkStart w:id="134"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5" w:name="_Toc15340"/>
      <w:r>
        <w:rPr>
          <w:rFonts w:hint="eastAsia" w:ascii="黑体" w:hAnsi="黑体" w:eastAsia="黑体" w:cstheme="minorEastAsia"/>
          <w:b w:val="0"/>
          <w:sz w:val="28"/>
          <w:szCs w:val="28"/>
        </w:rPr>
        <w:t>18 签署事项</w:t>
      </w:r>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6" w:name="_Toc15689"/>
      <w:bookmarkStart w:id="137" w:name="_Toc28611"/>
      <w:bookmarkStart w:id="138" w:name="_Toc10272"/>
      <w:bookmarkStart w:id="139" w:name="_Toc16330036"/>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6"/>
    <w:bookmarkEnd w:id="137"/>
    <w:bookmarkEnd w:id="138"/>
    <w:bookmarkEnd w:id="139"/>
    <w:p>
      <w:pPr>
        <w:pStyle w:val="3"/>
        <w:tabs>
          <w:tab w:val="right" w:leader="dot" w:pos="9061"/>
        </w:tabs>
        <w:rPr>
          <w:rFonts w:ascii="黑体" w:hAnsi="黑体" w:eastAsia="黑体" w:cstheme="minorEastAsia"/>
          <w:b w:val="0"/>
          <w:sz w:val="28"/>
          <w:szCs w:val="28"/>
        </w:rPr>
      </w:pPr>
      <w:bookmarkStart w:id="140" w:name="_Toc14581"/>
      <w:r>
        <w:rPr>
          <w:rFonts w:hint="eastAsia" w:ascii="黑体" w:hAnsi="黑体" w:eastAsia="黑体" w:cstheme="minorEastAsia"/>
          <w:b w:val="0"/>
          <w:sz w:val="28"/>
          <w:szCs w:val="28"/>
        </w:rPr>
        <w:t>附件一：设备清单明细表</w:t>
      </w:r>
      <w:bookmarkEnd w:id="140"/>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8"/>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1" w:name="_Toc25120"/>
      <w:bookmarkStart w:id="142" w:name="_Toc5379"/>
      <w:bookmarkStart w:id="143" w:name="_Toc3778"/>
      <w:bookmarkStart w:id="144" w:name="_Toc16330037"/>
      <w:bookmarkStart w:id="145" w:name="_Toc24623"/>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3"/>
        <w:tabs>
          <w:tab w:val="right" w:leader="dot" w:pos="9061"/>
        </w:tabs>
        <w:rPr>
          <w:rFonts w:ascii="黑体" w:hAnsi="黑体" w:eastAsia="黑体" w:cstheme="minorEastAsia"/>
          <w:b w:val="0"/>
          <w:sz w:val="28"/>
          <w:szCs w:val="28"/>
        </w:rPr>
      </w:pPr>
      <w:bookmarkStart w:id="146" w:name="_Toc8175"/>
      <w:r>
        <w:rPr>
          <w:rFonts w:hint="eastAsia" w:ascii="黑体" w:hAnsi="黑体" w:eastAsia="黑体" w:cstheme="minorEastAsia"/>
          <w:b w:val="0"/>
          <w:sz w:val="28"/>
          <w:szCs w:val="28"/>
        </w:rPr>
        <w:t xml:space="preserve">附件二 </w:t>
      </w:r>
      <w:bookmarkEnd w:id="141"/>
      <w:bookmarkEnd w:id="142"/>
      <w:bookmarkEnd w:id="143"/>
      <w:bookmarkEnd w:id="144"/>
      <w:bookmarkEnd w:id="145"/>
      <w:r>
        <w:rPr>
          <w:rFonts w:hint="eastAsia" w:ascii="黑体" w:hAnsi="黑体" w:eastAsia="黑体" w:cstheme="minorEastAsia"/>
          <w:b w:val="0"/>
          <w:sz w:val="28"/>
          <w:szCs w:val="28"/>
        </w:rPr>
        <w:t>技术协议书</w:t>
      </w:r>
      <w:bookmarkEnd w:id="146"/>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7" w:name="_Toc30594"/>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7"/>
    </w:p>
    <w:p>
      <w:pPr>
        <w:keepNext/>
        <w:keepLines/>
        <w:outlineLvl w:val="9"/>
        <w:rPr>
          <w:rFonts w:hint="eastAsia" w:ascii="Times New Roman" w:hAnsi="Times New Roman" w:eastAsia="宋体" w:cs="Times New Roman"/>
          <w:b/>
          <w:bCs/>
          <w:color w:val="000000"/>
          <w:sz w:val="24"/>
          <w:szCs w:val="24"/>
        </w:rPr>
      </w:pPr>
    </w:p>
    <w:p>
      <w:pPr>
        <w:pStyle w:val="19"/>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9"/>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8" w:name="_Toc25811"/>
      <w:bookmarkStart w:id="149" w:name="_Toc639004"/>
      <w:bookmarkStart w:id="150" w:name="_Toc353881012"/>
      <w:bookmarkStart w:id="15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8"/>
      <w:bookmarkEnd w:id="149"/>
      <w:bookmarkEnd w:id="150"/>
      <w:bookmarkEnd w:id="15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中国重汽集团济南动力有限公司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采购形式编号</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9"/>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7"/>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pPr>
              <w:pStyle w:val="137"/>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7"/>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7"/>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14"/>
              <w:ind w:left="720"/>
            </w:pPr>
            <w:r>
              <w:t xml:space="preserve">品牌区分 </w:t>
            </w:r>
          </w:p>
        </w:tc>
        <w:tc>
          <w:tcPr>
            <w:tcW w:w="7500" w:type="dxa"/>
            <w:gridSpan w:val="6"/>
          </w:tcPr>
          <w:p>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7"/>
              <w:spacing w:before="15"/>
              <w:ind w:left="279"/>
            </w:pPr>
            <w:r>
              <w:rPr>
                <w:spacing w:val="-2"/>
              </w:rPr>
              <w:t>质量</w:t>
            </w:r>
            <w:r>
              <w:t xml:space="preserve"> </w:t>
            </w:r>
          </w:p>
          <w:p>
            <w:pPr>
              <w:pStyle w:val="137"/>
              <w:spacing w:before="30" w:line="277" w:lineRule="exact"/>
              <w:ind w:left="279"/>
            </w:pPr>
            <w:r>
              <w:rPr>
                <w:rFonts w:hint="eastAsia"/>
              </w:rPr>
              <w:t>体系</w:t>
            </w:r>
          </w:p>
        </w:tc>
        <w:tc>
          <w:tcPr>
            <w:tcW w:w="2820" w:type="dxa"/>
            <w:gridSpan w:val="2"/>
          </w:tcPr>
          <w:p>
            <w:pPr>
              <w:pStyle w:val="137"/>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7"/>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pPr>
        <w:pStyle w:val="19"/>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9"/>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pPr>
        <w:pStyle w:val="26"/>
        <w:rPr>
          <w:rFonts w:hint="eastAsia" w:ascii="宋体" w:hAnsi="宋体" w:eastAsia="宋体" w:cs="Times New Roman"/>
          <w:sz w:val="24"/>
          <w:szCs w:val="20"/>
          <w:lang w:eastAsia="zh-CN"/>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lang w:val="en-US" w:eastAsia="zh-CN"/>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w:t>
            </w:r>
            <w:r>
              <w:rPr>
                <w:rFonts w:hint="eastAsia" w:ascii="宋体" w:hAnsi="宋体" w:eastAsia="宋体" w:cs="宋体"/>
                <w:sz w:val="24"/>
                <w:szCs w:val="24"/>
                <w:highlight w:val="red"/>
                <w:lang w:val="en-US" w:eastAsia="zh-CN"/>
              </w:rPr>
              <w:t>2</w:t>
            </w:r>
            <w:r>
              <w:rPr>
                <w:rFonts w:hint="eastAsia" w:ascii="宋体" w:hAnsi="宋体" w:eastAsia="宋体" w:cs="宋体"/>
                <w:sz w:val="24"/>
                <w:szCs w:val="24"/>
                <w:highlight w:val="red"/>
                <w:lang w:eastAsia="zh-CN"/>
              </w:rPr>
              <w:t>年1月1日</w:t>
            </w:r>
            <w:r>
              <w:rPr>
                <w:rFonts w:ascii="宋体" w:hAnsi="宋体" w:eastAsia="宋体" w:cs="宋体"/>
                <w:sz w:val="24"/>
                <w:szCs w:val="24"/>
                <w:highlight w:val="red"/>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lang w:eastAsia="zh-CN"/>
        </w:rPr>
        <w:t>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color w:val="000000"/>
                <w:kern w:val="2"/>
                <w:sz w:val="24"/>
                <w:szCs w:val="24"/>
                <w:u w:val="single"/>
                <w:shd w:val="clear" w:color="auto" w:fill="auto"/>
                <w:lang w:val="en-US" w:eastAsia="zh-CN" w:bidi="ar-SA"/>
              </w:rPr>
              <w:t>试验室环保设备设施</w:t>
            </w:r>
          </w:p>
        </w:tc>
        <w:tc>
          <w:tcPr>
            <w:tcW w:w="84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1套</w:t>
            </w: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pPr>
              <w:jc w:val="center"/>
              <w:rPr>
                <w:rFonts w:ascii="Times New Roman" w:hAnsi="Times New Roman" w:eastAsia="宋体" w:cs="Times New Roman"/>
                <w:b/>
                <w:szCs w:val="20"/>
              </w:rPr>
            </w:pPr>
          </w:p>
        </w:tc>
        <w:tc>
          <w:tcPr>
            <w:tcW w:w="1518" w:type="dxa"/>
            <w:vAlign w:val="center"/>
          </w:tcPr>
          <w:p>
            <w:pPr>
              <w:jc w:val="center"/>
              <w:rPr>
                <w:rFonts w:hint="eastAsia" w:ascii="Times New Roman" w:hAnsi="Times New Roman" w:eastAsia="宋体" w:cs="Times New Roman"/>
                <w:color w:val="000000"/>
                <w:kern w:val="2"/>
                <w:sz w:val="24"/>
                <w:szCs w:val="24"/>
                <w:u w:val="single"/>
                <w:shd w:val="clear" w:color="auto" w:fill="auto"/>
                <w:lang w:val="en-US" w:eastAsia="zh-CN" w:bidi="ar-SA"/>
              </w:rPr>
            </w:pPr>
          </w:p>
        </w:tc>
        <w:tc>
          <w:tcPr>
            <w:tcW w:w="848" w:type="dxa"/>
            <w:vAlign w:val="center"/>
          </w:tcPr>
          <w:p>
            <w:pPr>
              <w:jc w:val="center"/>
              <w:rPr>
                <w:rFonts w:hint="eastAsia"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rPr>
            </w:pP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调试板料费，样件生产及包装运输费、验收、技术及售后服务费、技术资料费、备品备件费等所有费用的总和。</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9"/>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502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5"/>
        <w:gridCol w:w="416"/>
        <w:gridCol w:w="2089"/>
        <w:gridCol w:w="1656"/>
        <w:gridCol w:w="1029"/>
        <w:gridCol w:w="1029"/>
        <w:gridCol w:w="1558"/>
        <w:gridCol w:w="2441"/>
        <w:gridCol w:w="2266"/>
        <w:gridCol w:w="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08" w:type="pct"/>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91" w:type="pct"/>
            <w:gridSpan w:val="2"/>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589" w:type="pct"/>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66" w:type="pct"/>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366" w:type="pct"/>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554" w:type="pct"/>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67" w:type="pct"/>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806" w:type="pct"/>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51" w:type="pct"/>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8" w:type="pct"/>
            <w:vAlign w:val="center"/>
          </w:tcPr>
          <w:p>
            <w:pPr>
              <w:widowControl/>
              <w:jc w:val="center"/>
              <w:rPr>
                <w:rFonts w:hint="eastAsia" w:ascii="Times New Roman" w:hAnsi="Times New Roman" w:eastAsia="宋体" w:cs="Times New Roman"/>
                <w:color w:val="000000"/>
                <w:kern w:val="0"/>
                <w:sz w:val="20"/>
                <w:lang w:val="en-US" w:eastAsia="zh-CN"/>
              </w:rPr>
            </w:pPr>
          </w:p>
        </w:tc>
        <w:tc>
          <w:tcPr>
            <w:tcW w:w="891" w:type="pct"/>
            <w:gridSpan w:val="2"/>
            <w:vAlign w:val="center"/>
          </w:tcPr>
          <w:p>
            <w:pPr>
              <w:keepNext w:val="0"/>
              <w:keepLines w:val="0"/>
              <w:widowControl/>
              <w:suppressLineNumbers w:val="0"/>
              <w:jc w:val="left"/>
              <w:textAlignment w:val="center"/>
              <w:rPr>
                <w:rFonts w:hint="default" w:ascii="Arial" w:eastAsiaTheme="minorEastAsia"/>
                <w:lang w:val="en-US" w:eastAsia="zh-CN"/>
              </w:rPr>
            </w:pPr>
            <w:r>
              <w:rPr>
                <w:rFonts w:hint="eastAsia" w:ascii="宋体" w:hAnsi="宋体" w:eastAsia="宋体" w:cs="宋体"/>
                <w:i w:val="0"/>
                <w:iCs w:val="0"/>
                <w:color w:val="000000"/>
                <w:kern w:val="0"/>
                <w:sz w:val="22"/>
                <w:szCs w:val="22"/>
                <w:u w:val="none"/>
                <w:lang w:val="en-US" w:eastAsia="zh-CN" w:bidi="ar"/>
              </w:rPr>
              <w:t>自行完善</w:t>
            </w:r>
          </w:p>
        </w:tc>
        <w:tc>
          <w:tcPr>
            <w:tcW w:w="589" w:type="pct"/>
          </w:tcPr>
          <w:p>
            <w:pPr>
              <w:rPr>
                <w:rFonts w:ascii="Arial"/>
              </w:rPr>
            </w:pPr>
          </w:p>
        </w:tc>
        <w:tc>
          <w:tcPr>
            <w:tcW w:w="366" w:type="pct"/>
            <w:vAlign w:val="top"/>
          </w:tcPr>
          <w:p>
            <w:pPr>
              <w:jc w:val="center"/>
              <w:rPr>
                <w:rFonts w:ascii="Times New Roman" w:hAnsi="Times New Roman" w:eastAsia="宋体" w:cs="Times New Roman"/>
                <w:sz w:val="24"/>
                <w:szCs w:val="24"/>
              </w:rPr>
            </w:pPr>
          </w:p>
        </w:tc>
        <w:tc>
          <w:tcPr>
            <w:tcW w:w="366" w:type="pct"/>
            <w:vAlign w:val="top"/>
          </w:tcPr>
          <w:p>
            <w:pPr>
              <w:jc w:val="center"/>
              <w:rPr>
                <w:rFonts w:ascii="Times New Roman" w:hAnsi="Times New Roman" w:eastAsia="宋体" w:cs="Times New Roman"/>
                <w:kern w:val="2"/>
                <w:sz w:val="21"/>
                <w:szCs w:val="22"/>
                <w:lang w:val="en-US" w:eastAsia="zh-CN" w:bidi="ar-SA"/>
              </w:rPr>
            </w:pPr>
          </w:p>
        </w:tc>
        <w:tc>
          <w:tcPr>
            <w:tcW w:w="554" w:type="pct"/>
          </w:tcPr>
          <w:p>
            <w:pPr>
              <w:rPr>
                <w:rFonts w:ascii="Arial"/>
              </w:rPr>
            </w:pPr>
          </w:p>
        </w:tc>
        <w:tc>
          <w:tcPr>
            <w:tcW w:w="867" w:type="pct"/>
            <w:tcBorders>
              <w:right w:val="single" w:color="000000" w:sz="4" w:space="0"/>
            </w:tcBorders>
          </w:tcPr>
          <w:p>
            <w:pPr>
              <w:rPr>
                <w:rFonts w:ascii="Arial"/>
              </w:rPr>
            </w:pPr>
          </w:p>
        </w:tc>
        <w:tc>
          <w:tcPr>
            <w:tcW w:w="806" w:type="pct"/>
            <w:tcBorders>
              <w:left w:val="single" w:color="000000" w:sz="4" w:space="0"/>
            </w:tcBorders>
          </w:tcPr>
          <w:p>
            <w:pPr>
              <w:rPr>
                <w:rFonts w:ascii="Arial"/>
              </w:rPr>
            </w:pPr>
          </w:p>
        </w:tc>
        <w:tc>
          <w:tcPr>
            <w:tcW w:w="351" w:type="pct"/>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56" w:type="pct"/>
            <w:gridSpan w:val="2"/>
            <w:tcBorders>
              <w:right w:val="single" w:color="000000" w:sz="4" w:space="0"/>
            </w:tcBorders>
          </w:tcPr>
          <w:p>
            <w:pPr>
              <w:jc w:val="center"/>
              <w:rPr>
                <w:rFonts w:ascii="宋体" w:hAnsi="宋体" w:eastAsia="宋体" w:cs="宋体"/>
                <w:spacing w:val="-6"/>
                <w:szCs w:val="21"/>
              </w:rPr>
            </w:pPr>
          </w:p>
        </w:tc>
        <w:tc>
          <w:tcPr>
            <w:tcW w:w="3486" w:type="pct"/>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806" w:type="pct"/>
            <w:tcBorders>
              <w:left w:val="single" w:color="000000" w:sz="4" w:space="0"/>
            </w:tcBorders>
          </w:tcPr>
          <w:p>
            <w:pPr>
              <w:rPr>
                <w:rFonts w:ascii="Arial"/>
              </w:rPr>
            </w:pPr>
          </w:p>
          <w:p/>
        </w:tc>
        <w:tc>
          <w:tcPr>
            <w:tcW w:w="351" w:type="pct"/>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56" w:type="pct"/>
            <w:gridSpan w:val="2"/>
            <w:tcBorders>
              <w:right w:val="single" w:color="000000" w:sz="4" w:space="0"/>
            </w:tcBorders>
          </w:tcPr>
          <w:p>
            <w:pPr>
              <w:jc w:val="center"/>
              <w:rPr>
                <w:rFonts w:ascii="宋体" w:hAnsi="宋体" w:eastAsia="宋体" w:cs="宋体"/>
                <w:spacing w:val="-6"/>
                <w:szCs w:val="21"/>
              </w:rPr>
            </w:pPr>
          </w:p>
        </w:tc>
        <w:tc>
          <w:tcPr>
            <w:tcW w:w="3486" w:type="pct"/>
            <w:gridSpan w:val="6"/>
            <w:tcBorders>
              <w:right w:val="single" w:color="000000" w:sz="4" w:space="0"/>
            </w:tcBorders>
          </w:tcPr>
          <w:p>
            <w:pPr>
              <w:jc w:val="center"/>
              <w:rPr>
                <w:rFonts w:ascii="宋体" w:hAnsi="宋体" w:eastAsia="宋体" w:cs="宋体"/>
                <w:spacing w:val="-6"/>
                <w:szCs w:val="21"/>
              </w:rPr>
            </w:pPr>
          </w:p>
        </w:tc>
        <w:tc>
          <w:tcPr>
            <w:tcW w:w="806" w:type="pct"/>
            <w:tcBorders>
              <w:left w:val="single" w:color="000000" w:sz="4" w:space="0"/>
            </w:tcBorders>
          </w:tcPr>
          <w:p/>
        </w:tc>
        <w:tc>
          <w:tcPr>
            <w:tcW w:w="351" w:type="pct"/>
          </w:tcPr>
          <w:p>
            <w:pPr>
              <w:rPr>
                <w:rFonts w:ascii="Arial"/>
              </w:rPr>
            </w:pPr>
          </w:p>
        </w:tc>
      </w:tr>
    </w:tbl>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4"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restart"/>
            <w:tcBorders>
              <w:tl2br w:val="nil"/>
              <w:tr2bl w:val="nil"/>
            </w:tcBorders>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continue"/>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lang w:val="en-US" w:eastAsia="zh-CN"/>
              </w:rPr>
              <w:t>其它(列出明细)</w:t>
            </w:r>
          </w:p>
        </w:tc>
        <w:tc>
          <w:tcPr>
            <w:tcW w:w="1126" w:type="dxa"/>
            <w:vAlign w:val="top"/>
          </w:tcPr>
          <w:p>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9"/>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ascii="宋体" w:hAnsi="宋体" w:eastAsia="宋体" w:cs="宋体"/>
                <w:spacing w:val="-6"/>
                <w:szCs w:val="21"/>
              </w:rPr>
            </w:pPr>
          </w:p>
        </w:tc>
        <w:tc>
          <w:tcPr>
            <w:tcW w:w="4867"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9"/>
      </w:pPr>
    </w:p>
    <w:p>
      <w:pPr>
        <w:pStyle w:val="19"/>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2"/>
          <w:u w:val="single"/>
          <w:lang w:eastAsia="zh-CN"/>
        </w:rPr>
        <w:t>新能源产品试验检测中心（二期）技改项目-试验室环保设备设施</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2"/>
          <w:u w:val="single"/>
          <w:lang w:eastAsia="zh-CN"/>
        </w:rPr>
        <w:t>新能源产品试验检测中心（二期）技改项目-试验室环保设备设施</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9"/>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u w:val="single"/>
              </w:rPr>
              <w:t>新能源产品试验检测中心（二期）技改项目-</w:t>
            </w:r>
            <w:r>
              <w:rPr>
                <w:rFonts w:hint="eastAsia" w:ascii="宋体" w:hAnsi="宋体" w:eastAsia="宋体" w:cs="宋体"/>
                <w:b/>
                <w:szCs w:val="20"/>
                <w:u w:val="single"/>
                <w:lang w:eastAsia="zh-CN"/>
              </w:rPr>
              <w:t>试验室环保设备设施</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rPr>
          <w:rFonts w:asciiTheme="minorEastAsia" w:hAnsiTheme="minorEastAsia" w:cstheme="minorEastAsia"/>
          <w:sz w:val="20"/>
          <w:szCs w:val="20"/>
        </w:rPr>
      </w:pPr>
      <w:r>
        <w:rPr>
          <w:rFonts w:asciiTheme="minorEastAsia" w:hAnsiTheme="minorEastAsia" w:cstheme="minorEastAsia"/>
          <w:sz w:val="20"/>
          <w:szCs w:val="20"/>
        </w:rPr>
        <w:br w:type="page"/>
      </w:r>
    </w:p>
    <w:p>
      <w:pPr>
        <w:pStyle w:val="12"/>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附件14技术标评分标准</w:t>
      </w:r>
    </w:p>
    <w:p>
      <w:pPr>
        <w:jc w:val="center"/>
        <w:outlineLvl w:val="2"/>
        <w:rPr>
          <w:rFonts w:ascii="宋体" w:hAnsi="宋体" w:eastAsia="宋体"/>
          <w:b/>
          <w:bCs/>
          <w:color w:val="auto"/>
          <w:sz w:val="28"/>
          <w:szCs w:val="28"/>
        </w:rPr>
      </w:pPr>
      <w:r>
        <w:rPr>
          <w:rFonts w:hint="eastAsia" w:ascii="宋体" w:hAnsi="宋体" w:eastAsia="宋体"/>
          <w:b/>
          <w:bCs/>
          <w:color w:val="auto"/>
          <w:sz w:val="28"/>
          <w:szCs w:val="28"/>
        </w:rPr>
        <w:t>技术标评审表（100分）</w:t>
      </w:r>
    </w:p>
    <w:tbl>
      <w:tblPr>
        <w:tblStyle w:val="38"/>
        <w:tblpPr w:leftFromText="180" w:rightFromText="180" w:vertAnchor="text" w:horzAnchor="page" w:tblpXSpec="center" w:tblpY="197"/>
        <w:tblOverlap w:val="never"/>
        <w:tblW w:w="52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743"/>
        <w:gridCol w:w="2384"/>
        <w:gridCol w:w="1517"/>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1" w:type="pct"/>
            <w:vAlign w:val="center"/>
          </w:tcPr>
          <w:p>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评审</w:t>
            </w:r>
          </w:p>
          <w:p>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内容</w:t>
            </w:r>
          </w:p>
        </w:tc>
        <w:tc>
          <w:tcPr>
            <w:tcW w:w="245" w:type="pct"/>
            <w:vAlign w:val="center"/>
          </w:tcPr>
          <w:p>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序号</w:t>
            </w:r>
          </w:p>
        </w:tc>
        <w:tc>
          <w:tcPr>
            <w:tcW w:w="786" w:type="pct"/>
            <w:vAlign w:val="center"/>
          </w:tcPr>
          <w:p>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   容</w:t>
            </w:r>
          </w:p>
        </w:tc>
        <w:tc>
          <w:tcPr>
            <w:tcW w:w="500" w:type="pct"/>
            <w:vAlign w:val="center"/>
          </w:tcPr>
          <w:p>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标准分</w:t>
            </w:r>
          </w:p>
        </w:tc>
        <w:tc>
          <w:tcPr>
            <w:tcW w:w="3095" w:type="pct"/>
            <w:vAlign w:val="center"/>
          </w:tcPr>
          <w:p>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371" w:type="pct"/>
            <w:vMerge w:val="restar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业绩</w:t>
            </w:r>
          </w:p>
        </w:tc>
        <w:tc>
          <w:tcPr>
            <w:tcW w:w="245" w:type="pct"/>
            <w:vMerge w:val="restart"/>
            <w:vAlign w:val="center"/>
          </w:tcPr>
          <w:p>
            <w:pPr>
              <w:adjustRightInd w:val="0"/>
              <w:snapToGrid w:val="0"/>
              <w:jc w:val="left"/>
              <w:rPr>
                <w:rFonts w:hint="eastAsia" w:ascii="仿宋_GB2312" w:hAnsi="仿宋_GB2312" w:cs="仿宋_GB2312"/>
                <w:sz w:val="24"/>
                <w:szCs w:val="18"/>
              </w:rPr>
            </w:pPr>
            <w:r>
              <w:rPr>
                <w:rFonts w:ascii="仿宋_GB2312" w:hAnsi="仿宋_GB2312" w:cs="仿宋_GB2312"/>
                <w:sz w:val="24"/>
                <w:szCs w:val="18"/>
              </w:rPr>
              <w:t>1</w:t>
            </w: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合同数量及金额</w:t>
            </w:r>
          </w:p>
        </w:tc>
        <w:tc>
          <w:tcPr>
            <w:tcW w:w="500" w:type="pct"/>
            <w:vAlign w:val="center"/>
          </w:tcPr>
          <w:p>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15</w:t>
            </w:r>
          </w:p>
        </w:tc>
        <w:tc>
          <w:tcPr>
            <w:tcW w:w="3095" w:type="pct"/>
            <w:vMerge w:val="restar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投标人提供自20</w:t>
            </w:r>
            <w:r>
              <w:rPr>
                <w:rFonts w:ascii="仿宋_GB2312" w:hAnsi="仿宋_GB2312" w:cs="仿宋_GB2312"/>
                <w:sz w:val="24"/>
                <w:szCs w:val="18"/>
              </w:rPr>
              <w:t>2</w:t>
            </w:r>
            <w:r>
              <w:rPr>
                <w:rFonts w:hint="eastAsia" w:ascii="仿宋_GB2312" w:hAnsi="仿宋_GB2312" w:cs="仿宋_GB2312"/>
                <w:sz w:val="24"/>
                <w:szCs w:val="18"/>
                <w:lang w:val="en-US" w:eastAsia="zh-CN"/>
              </w:rPr>
              <w:t>2</w:t>
            </w:r>
            <w:r>
              <w:rPr>
                <w:rFonts w:hint="eastAsia" w:ascii="仿宋_GB2312" w:hAnsi="仿宋_GB2312" w:cs="仿宋_GB2312"/>
                <w:sz w:val="24"/>
                <w:szCs w:val="18"/>
              </w:rPr>
              <w:t>年1月1日以来与本标同类型的项目业绩（以合同复印件加盖公章为准，时间以签订日期为准）。由评标委员会成员按照20</w:t>
            </w:r>
            <w:r>
              <w:rPr>
                <w:rFonts w:hint="eastAsia" w:ascii="仿宋_GB2312" w:hAnsi="仿宋_GB2312" w:cs="仿宋_GB2312"/>
                <w:sz w:val="24"/>
                <w:szCs w:val="18"/>
                <w:lang w:val="en-US" w:eastAsia="zh-CN"/>
              </w:rPr>
              <w:t>21</w:t>
            </w:r>
            <w:r>
              <w:rPr>
                <w:rFonts w:hint="eastAsia" w:ascii="仿宋_GB2312" w:hAnsi="仿宋_GB2312" w:cs="仿宋_GB2312"/>
                <w:sz w:val="24"/>
                <w:szCs w:val="18"/>
              </w:rPr>
              <w:t>年1月1日以来投入使用的</w:t>
            </w:r>
            <w:r>
              <w:rPr>
                <w:rFonts w:hint="eastAsia" w:ascii="仿宋_GB2312" w:hAnsi="仿宋_GB2312" w:cs="仿宋_GB2312"/>
                <w:sz w:val="24"/>
                <w:szCs w:val="18"/>
                <w:lang w:val="en-US" w:eastAsia="zh-CN"/>
              </w:rPr>
              <w:t>相关</w:t>
            </w:r>
            <w:r>
              <w:rPr>
                <w:rFonts w:hint="eastAsia" w:ascii="仿宋_GB2312" w:hAnsi="仿宋_GB2312" w:cs="仿宋_GB2312"/>
                <w:sz w:val="24"/>
                <w:szCs w:val="18"/>
              </w:rPr>
              <w:t>项目的合同数量及金额、合同相关性两个维度进行打分。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（1）合同数量1-</w:t>
            </w:r>
            <w:r>
              <w:rPr>
                <w:rFonts w:hint="eastAsia" w:ascii="仿宋_GB2312" w:hAnsi="仿宋_GB2312" w:cs="仿宋_GB2312"/>
                <w:sz w:val="24"/>
                <w:szCs w:val="18"/>
                <w:lang w:val="en-US" w:eastAsia="zh-CN"/>
              </w:rPr>
              <w:t>2</w:t>
            </w:r>
            <w:r>
              <w:rPr>
                <w:rFonts w:hint="eastAsia" w:ascii="仿宋_GB2312" w:hAnsi="仿宋_GB2312" w:cs="仿宋_GB2312"/>
                <w:sz w:val="24"/>
                <w:szCs w:val="18"/>
              </w:rPr>
              <w:t>份：0-3分；合同数量</w:t>
            </w:r>
            <w:r>
              <w:rPr>
                <w:rFonts w:hint="eastAsia" w:ascii="仿宋_GB2312" w:hAnsi="仿宋_GB2312" w:cs="仿宋_GB2312"/>
                <w:sz w:val="24"/>
                <w:szCs w:val="18"/>
                <w:lang w:val="en-US" w:eastAsia="zh-CN"/>
              </w:rPr>
              <w:t>3</w:t>
            </w:r>
            <w:r>
              <w:rPr>
                <w:rFonts w:hint="eastAsia" w:ascii="仿宋_GB2312" w:hAnsi="仿宋_GB2312" w:cs="仿宋_GB2312"/>
                <w:sz w:val="24"/>
                <w:szCs w:val="18"/>
              </w:rPr>
              <w:t>-</w:t>
            </w:r>
            <w:r>
              <w:rPr>
                <w:rFonts w:hint="eastAsia" w:ascii="仿宋_GB2312" w:hAnsi="仿宋_GB2312" w:cs="仿宋_GB2312"/>
                <w:sz w:val="24"/>
                <w:szCs w:val="18"/>
                <w:lang w:val="en-US" w:eastAsia="zh-CN"/>
              </w:rPr>
              <w:t>5</w:t>
            </w:r>
            <w:r>
              <w:rPr>
                <w:rFonts w:hint="eastAsia" w:ascii="仿宋_GB2312" w:hAnsi="仿宋_GB2312" w:cs="仿宋_GB2312"/>
                <w:sz w:val="24"/>
                <w:szCs w:val="18"/>
              </w:rPr>
              <w:t>份：4-</w:t>
            </w:r>
            <w:r>
              <w:rPr>
                <w:rFonts w:hint="eastAsia" w:ascii="仿宋_GB2312" w:hAnsi="仿宋_GB2312" w:cs="仿宋_GB2312"/>
                <w:sz w:val="24"/>
                <w:szCs w:val="18"/>
                <w:lang w:val="en-US" w:eastAsia="zh-CN"/>
              </w:rPr>
              <w:t>6</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5</w:t>
            </w:r>
            <w:r>
              <w:rPr>
                <w:rFonts w:hint="eastAsia" w:ascii="仿宋_GB2312" w:hAnsi="仿宋_GB2312" w:cs="仿宋_GB2312"/>
                <w:sz w:val="24"/>
                <w:szCs w:val="18"/>
              </w:rPr>
              <w:t>-</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7</w:t>
            </w:r>
            <w:r>
              <w:rPr>
                <w:rFonts w:hint="eastAsia" w:ascii="仿宋_GB2312" w:hAnsi="仿宋_GB2312" w:cs="仿宋_GB2312"/>
                <w:sz w:val="24"/>
                <w:szCs w:val="18"/>
              </w:rPr>
              <w:t>-1</w:t>
            </w:r>
            <w:r>
              <w:rPr>
                <w:rFonts w:hint="eastAsia" w:ascii="仿宋_GB2312" w:hAnsi="仿宋_GB2312" w:cs="仿宋_GB2312"/>
                <w:sz w:val="24"/>
                <w:szCs w:val="18"/>
                <w:lang w:val="en-US" w:eastAsia="zh-CN"/>
              </w:rPr>
              <w:t>0</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11</w:t>
            </w:r>
            <w:r>
              <w:rPr>
                <w:rFonts w:hint="eastAsia" w:ascii="仿宋_GB2312" w:hAnsi="仿宋_GB2312" w:cs="仿宋_GB2312"/>
                <w:sz w:val="24"/>
                <w:szCs w:val="18"/>
              </w:rPr>
              <w:t>-15分。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（2）合同相关性、投标方知名度：0-5分。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371" w:type="pct"/>
            <w:vMerge w:val="continue"/>
            <w:vAlign w:val="center"/>
          </w:tcPr>
          <w:p>
            <w:pPr>
              <w:adjustRightInd w:val="0"/>
              <w:snapToGrid w:val="0"/>
              <w:jc w:val="left"/>
              <w:rPr>
                <w:rFonts w:hint="eastAsia" w:ascii="仿宋_GB2312" w:hAnsi="仿宋_GB2312" w:cs="仿宋_GB2312"/>
                <w:sz w:val="24"/>
                <w:szCs w:val="18"/>
              </w:rPr>
            </w:pPr>
          </w:p>
        </w:tc>
        <w:tc>
          <w:tcPr>
            <w:tcW w:w="245" w:type="pct"/>
            <w:vMerge w:val="continue"/>
            <w:vAlign w:val="center"/>
          </w:tcPr>
          <w:p>
            <w:pPr>
              <w:adjustRightInd w:val="0"/>
              <w:snapToGrid w:val="0"/>
              <w:jc w:val="left"/>
              <w:rPr>
                <w:rFonts w:hint="eastAsia" w:ascii="仿宋_GB2312" w:hAnsi="仿宋_GB2312" w:cs="仿宋_GB2312"/>
                <w:sz w:val="24"/>
                <w:szCs w:val="18"/>
              </w:rPr>
            </w:pP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合同相关性</w:t>
            </w:r>
          </w:p>
        </w:tc>
        <w:tc>
          <w:tcPr>
            <w:tcW w:w="500" w:type="pct"/>
            <w:vAlign w:val="center"/>
          </w:tcPr>
          <w:p>
            <w:pPr>
              <w:adjustRightInd w:val="0"/>
              <w:snapToGrid w:val="0"/>
              <w:jc w:val="left"/>
              <w:rPr>
                <w:rFonts w:hint="eastAsia"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5</w:t>
            </w:r>
          </w:p>
        </w:tc>
        <w:tc>
          <w:tcPr>
            <w:tcW w:w="3095" w:type="pct"/>
            <w:vMerge w:val="continue"/>
            <w:vAlign w:val="center"/>
          </w:tcPr>
          <w:p>
            <w:pPr>
              <w:adjustRightInd w:val="0"/>
              <w:snapToGrid w:val="0"/>
              <w:jc w:val="left"/>
              <w:rPr>
                <w:rFonts w:hint="eastAsia" w:ascii="仿宋_GB2312" w:hAnsi="仿宋_GB2312" w:cs="仿宋_GB2312"/>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restar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产品技术</w:t>
            </w:r>
          </w:p>
        </w:tc>
        <w:tc>
          <w:tcPr>
            <w:tcW w:w="245" w:type="pct"/>
            <w:vMerge w:val="restar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产品方案</w:t>
            </w:r>
          </w:p>
        </w:tc>
        <w:tc>
          <w:tcPr>
            <w:tcW w:w="500" w:type="pct"/>
            <w:vAlign w:val="center"/>
          </w:tcPr>
          <w:p>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10</w:t>
            </w:r>
          </w:p>
        </w:tc>
        <w:tc>
          <w:tcPr>
            <w:tcW w:w="3095" w:type="pct"/>
            <w:vMerge w:val="restar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以下各项由评标委员会成员独立进行客观、公正的评价打分。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（1）系统方案已达到招标要求且具备自身优势，设备主要核心部件选用</w:t>
            </w:r>
            <w:r>
              <w:rPr>
                <w:rFonts w:hint="eastAsia" w:ascii="仿宋_GB2312" w:hAnsi="仿宋_GB2312" w:cs="仿宋_GB2312"/>
                <w:sz w:val="24"/>
                <w:szCs w:val="18"/>
                <w:lang w:val="en-US" w:eastAsia="zh-CN"/>
              </w:rPr>
              <w:t>国内/</w:t>
            </w:r>
            <w:r>
              <w:rPr>
                <w:rFonts w:hint="eastAsia" w:ascii="仿宋_GB2312" w:hAnsi="仿宋_GB2312" w:cs="仿宋_GB2312"/>
                <w:sz w:val="24"/>
                <w:szCs w:val="18"/>
              </w:rPr>
              <w:t>国际知名品牌，打分</w:t>
            </w:r>
            <w:r>
              <w:rPr>
                <w:rFonts w:ascii="仿宋_GB2312" w:hAnsi="仿宋_GB2312" w:cs="仿宋_GB2312"/>
                <w:sz w:val="24"/>
                <w:szCs w:val="18"/>
              </w:rPr>
              <w:t>0-</w:t>
            </w:r>
            <w:r>
              <w:rPr>
                <w:rFonts w:hint="eastAsia" w:ascii="仿宋_GB2312" w:hAnsi="仿宋_GB2312" w:cs="仿宋_GB2312"/>
                <w:sz w:val="24"/>
                <w:szCs w:val="18"/>
              </w:rPr>
              <w:t>10分；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（2）系统配置合理，运行可靠，其性能指标、技术水平、可靠性等优势明显，打分</w:t>
            </w:r>
            <w:r>
              <w:rPr>
                <w:rFonts w:ascii="仿宋_GB2312" w:hAnsi="仿宋_GB2312" w:cs="仿宋_GB2312"/>
                <w:sz w:val="24"/>
                <w:szCs w:val="18"/>
              </w:rPr>
              <w:t>0-</w:t>
            </w:r>
            <w:r>
              <w:rPr>
                <w:rFonts w:hint="eastAsia" w:ascii="仿宋_GB2312" w:hAnsi="仿宋_GB2312" w:cs="仿宋_GB2312"/>
                <w:sz w:val="24"/>
                <w:szCs w:val="18"/>
              </w:rPr>
              <w:t>10分；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（3）企业生产情况，加工设备情况，人员数量与构成，打分0-10分；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（4）产品相关专利证书，设计人性化，使用方便，打分</w:t>
            </w:r>
            <w:r>
              <w:rPr>
                <w:rFonts w:ascii="仿宋_GB2312" w:hAnsi="仿宋_GB2312" w:cs="仿宋_GB2312"/>
                <w:sz w:val="24"/>
                <w:szCs w:val="18"/>
              </w:rPr>
              <w:t>0-</w:t>
            </w:r>
            <w:r>
              <w:rPr>
                <w:rFonts w:hint="eastAsia" w:ascii="仿宋_GB2312" w:hAnsi="仿宋_GB2312" w:cs="仿宋_GB2312"/>
                <w:sz w:val="24"/>
                <w:szCs w:val="18"/>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pPr>
              <w:adjustRightInd w:val="0"/>
              <w:snapToGrid w:val="0"/>
              <w:jc w:val="left"/>
              <w:rPr>
                <w:rFonts w:hint="eastAsia" w:ascii="仿宋_GB2312" w:hAnsi="仿宋_GB2312" w:cs="仿宋_GB2312"/>
                <w:sz w:val="24"/>
                <w:szCs w:val="18"/>
              </w:rPr>
            </w:pPr>
          </w:p>
        </w:tc>
        <w:tc>
          <w:tcPr>
            <w:tcW w:w="245" w:type="pct"/>
            <w:vMerge w:val="continue"/>
            <w:vAlign w:val="center"/>
          </w:tcPr>
          <w:p>
            <w:pPr>
              <w:adjustRightInd w:val="0"/>
              <w:snapToGrid w:val="0"/>
              <w:jc w:val="left"/>
              <w:rPr>
                <w:rFonts w:hint="eastAsia" w:ascii="仿宋_GB2312" w:hAnsi="仿宋_GB2312" w:cs="仿宋_GB2312"/>
                <w:sz w:val="24"/>
                <w:szCs w:val="18"/>
              </w:rPr>
            </w:pP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性能参数</w:t>
            </w:r>
          </w:p>
        </w:tc>
        <w:tc>
          <w:tcPr>
            <w:tcW w:w="500" w:type="pct"/>
            <w:vAlign w:val="center"/>
          </w:tcPr>
          <w:p>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pPr>
              <w:adjustRightInd w:val="0"/>
              <w:snapToGrid w:val="0"/>
              <w:jc w:val="left"/>
              <w:rPr>
                <w:rFonts w:hint="eastAsia" w:ascii="仿宋_GB2312" w:hAnsi="仿宋_GB2312" w:cs="仿宋_GB2312"/>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pPr>
              <w:adjustRightInd w:val="0"/>
              <w:snapToGrid w:val="0"/>
              <w:jc w:val="left"/>
              <w:rPr>
                <w:rFonts w:hint="eastAsia" w:ascii="仿宋_GB2312" w:hAnsi="仿宋_GB2312" w:cs="仿宋_GB2312"/>
                <w:sz w:val="24"/>
                <w:szCs w:val="18"/>
              </w:rPr>
            </w:pPr>
          </w:p>
        </w:tc>
        <w:tc>
          <w:tcPr>
            <w:tcW w:w="245" w:type="pct"/>
            <w:vMerge w:val="continue"/>
            <w:vAlign w:val="center"/>
          </w:tcPr>
          <w:p>
            <w:pPr>
              <w:adjustRightInd w:val="0"/>
              <w:snapToGrid w:val="0"/>
              <w:jc w:val="left"/>
              <w:rPr>
                <w:rFonts w:hint="eastAsia" w:ascii="仿宋_GB2312" w:hAnsi="仿宋_GB2312" w:cs="仿宋_GB2312"/>
                <w:sz w:val="24"/>
                <w:szCs w:val="18"/>
              </w:rPr>
            </w:pP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生产加工</w:t>
            </w:r>
          </w:p>
        </w:tc>
        <w:tc>
          <w:tcPr>
            <w:tcW w:w="500" w:type="pct"/>
            <w:vAlign w:val="center"/>
          </w:tcPr>
          <w:p>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pPr>
              <w:adjustRightInd w:val="0"/>
              <w:snapToGrid w:val="0"/>
              <w:jc w:val="left"/>
              <w:rPr>
                <w:rFonts w:hint="eastAsia" w:ascii="仿宋_GB2312" w:hAnsi="仿宋_GB2312" w:cs="仿宋_GB2312"/>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pPr>
              <w:adjustRightInd w:val="0"/>
              <w:snapToGrid w:val="0"/>
              <w:jc w:val="left"/>
              <w:rPr>
                <w:rFonts w:hint="eastAsia" w:ascii="仿宋_GB2312" w:hAnsi="仿宋_GB2312" w:cs="仿宋_GB2312"/>
                <w:sz w:val="24"/>
                <w:szCs w:val="18"/>
              </w:rPr>
            </w:pPr>
          </w:p>
        </w:tc>
        <w:tc>
          <w:tcPr>
            <w:tcW w:w="245" w:type="pct"/>
            <w:vMerge w:val="continue"/>
            <w:vAlign w:val="center"/>
          </w:tcPr>
          <w:p>
            <w:pPr>
              <w:adjustRightInd w:val="0"/>
              <w:snapToGrid w:val="0"/>
              <w:jc w:val="left"/>
              <w:rPr>
                <w:rFonts w:hint="eastAsia" w:ascii="仿宋_GB2312" w:hAnsi="仿宋_GB2312" w:cs="仿宋_GB2312"/>
                <w:sz w:val="24"/>
                <w:szCs w:val="18"/>
              </w:rPr>
            </w:pP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专利证书</w:t>
            </w:r>
          </w:p>
        </w:tc>
        <w:tc>
          <w:tcPr>
            <w:tcW w:w="500" w:type="pct"/>
            <w:vAlign w:val="center"/>
          </w:tcPr>
          <w:p>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pPr>
              <w:adjustRightInd w:val="0"/>
              <w:snapToGrid w:val="0"/>
              <w:jc w:val="left"/>
              <w:rPr>
                <w:rFonts w:hint="eastAsia" w:ascii="仿宋_GB2312" w:hAnsi="仿宋_GB2312" w:cs="仿宋_GB2312"/>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371"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答疑</w:t>
            </w:r>
          </w:p>
        </w:tc>
        <w:tc>
          <w:tcPr>
            <w:tcW w:w="24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现场答疑</w:t>
            </w:r>
          </w:p>
        </w:tc>
        <w:tc>
          <w:tcPr>
            <w:tcW w:w="500"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20</w:t>
            </w:r>
          </w:p>
        </w:tc>
        <w:tc>
          <w:tcPr>
            <w:tcW w:w="309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（1）投标人对投标方案、技术优势的讲解，以及就该项目难点回答评标专家现场提问，打分</w:t>
            </w:r>
            <w:r>
              <w:rPr>
                <w:rFonts w:ascii="仿宋_GB2312" w:hAnsi="仿宋_GB2312" w:cs="仿宋_GB2312"/>
                <w:sz w:val="24"/>
                <w:szCs w:val="18"/>
              </w:rPr>
              <w:t>0-</w:t>
            </w:r>
            <w:r>
              <w:rPr>
                <w:rFonts w:hint="eastAsia" w:ascii="仿宋_GB2312" w:hAnsi="仿宋_GB2312" w:cs="仿宋_GB2312"/>
                <w:sz w:val="24"/>
                <w:szCs w:val="18"/>
              </w:rPr>
              <w:t>15分。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（2）是否了解招标方现有设备配置</w:t>
            </w:r>
            <w:r>
              <w:rPr>
                <w:rFonts w:hint="eastAsia" w:ascii="仿宋_GB2312" w:hAnsi="仿宋_GB2312" w:cs="仿宋_GB2312"/>
                <w:sz w:val="24"/>
                <w:szCs w:val="18"/>
                <w:lang w:val="en-US" w:eastAsia="zh-CN"/>
              </w:rPr>
              <w:t>等情况</w:t>
            </w:r>
            <w:r>
              <w:rPr>
                <w:rFonts w:hint="eastAsia" w:ascii="仿宋_GB2312" w:hAnsi="仿宋_GB2312" w:cs="仿宋_GB2312"/>
                <w:sz w:val="24"/>
                <w:szCs w:val="18"/>
              </w:rPr>
              <w:t>，打分</w:t>
            </w:r>
            <w:r>
              <w:rPr>
                <w:rFonts w:ascii="仿宋_GB2312" w:hAnsi="仿宋_GB2312" w:cs="仿宋_GB2312"/>
                <w:sz w:val="24"/>
                <w:szCs w:val="18"/>
              </w:rPr>
              <w:t>0-</w:t>
            </w:r>
            <w:r>
              <w:rPr>
                <w:rFonts w:hint="eastAsia" w:ascii="仿宋_GB2312" w:hAnsi="仿宋_GB2312" w:cs="仿宋_GB2312"/>
                <w:sz w:val="24"/>
                <w:szCs w:val="18"/>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371"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24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w:t>
            </w: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500"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10</w:t>
            </w:r>
          </w:p>
        </w:tc>
        <w:tc>
          <w:tcPr>
            <w:tcW w:w="309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根据各投标人的核心产品的配置参数、技术偏离情况，在满足我司技术基本要求的前提下偏离。由评标委员会成员独立进行客观、公正的评价打分。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（1）无负偏离得6分；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一般偏离一项扣2分，较大偏离一项扣4分，最低</w:t>
            </w:r>
            <w:r>
              <w:rPr>
                <w:rFonts w:ascii="仿宋_GB2312" w:hAnsi="仿宋_GB2312" w:cs="仿宋_GB2312"/>
                <w:sz w:val="24"/>
                <w:szCs w:val="18"/>
              </w:rPr>
              <w:t>0</w:t>
            </w:r>
            <w:r>
              <w:rPr>
                <w:rFonts w:hint="eastAsia" w:ascii="仿宋_GB2312" w:hAnsi="仿宋_GB2312" w:cs="仿宋_GB2312"/>
                <w:sz w:val="24"/>
                <w:szCs w:val="18"/>
              </w:rPr>
              <w:t>分；</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（2）实质性正偏离，一项加2分，最高4分。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371" w:type="pct"/>
            <w:vMerge w:val="restar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售后及服务</w:t>
            </w:r>
          </w:p>
        </w:tc>
        <w:tc>
          <w:tcPr>
            <w:tcW w:w="24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786"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技术培训</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方案</w:t>
            </w:r>
          </w:p>
        </w:tc>
        <w:tc>
          <w:tcPr>
            <w:tcW w:w="500"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309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根据投标人技术培训方案的科学、合理、可行进行打分，0-2分。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371" w:type="pct"/>
            <w:vMerge w:val="continue"/>
            <w:vAlign w:val="center"/>
          </w:tcPr>
          <w:p>
            <w:pPr>
              <w:adjustRightInd w:val="0"/>
              <w:snapToGrid w:val="0"/>
              <w:jc w:val="left"/>
              <w:rPr>
                <w:rFonts w:hint="eastAsia" w:ascii="仿宋_GB2312" w:hAnsi="仿宋_GB2312" w:cs="仿宋_GB2312"/>
                <w:sz w:val="24"/>
                <w:szCs w:val="18"/>
              </w:rPr>
            </w:pPr>
          </w:p>
        </w:tc>
        <w:tc>
          <w:tcPr>
            <w:tcW w:w="24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6</w:t>
            </w:r>
          </w:p>
        </w:tc>
        <w:tc>
          <w:tcPr>
            <w:tcW w:w="786" w:type="pct"/>
            <w:shd w:val="clear" w:color="auto" w:fill="auto"/>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售后技术</w:t>
            </w:r>
          </w:p>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力量</w:t>
            </w:r>
          </w:p>
        </w:tc>
        <w:tc>
          <w:tcPr>
            <w:tcW w:w="500" w:type="pct"/>
            <w:shd w:val="clear" w:color="auto" w:fill="auto"/>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3095" w:type="pct"/>
            <w:shd w:val="clear" w:color="auto" w:fill="auto"/>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根据投标人在</w:t>
            </w:r>
            <w:r>
              <w:rPr>
                <w:rFonts w:hint="eastAsia" w:ascii="仿宋_GB2312" w:hAnsi="仿宋_GB2312" w:cs="仿宋_GB2312"/>
                <w:sz w:val="24"/>
                <w:szCs w:val="18"/>
                <w:lang w:val="en-US" w:eastAsia="zh-CN"/>
              </w:rPr>
              <w:t>山东省内</w:t>
            </w:r>
            <w:r>
              <w:rPr>
                <w:rFonts w:hint="eastAsia" w:ascii="仿宋_GB2312" w:hAnsi="仿宋_GB2312" w:cs="仿宋_GB2312"/>
                <w:sz w:val="24"/>
                <w:szCs w:val="18"/>
              </w:rPr>
              <w:t>常驻专业技术力量的维保</w:t>
            </w:r>
            <w:r>
              <w:rPr>
                <w:rFonts w:hint="eastAsia" w:ascii="仿宋_GB2312" w:hAnsi="仿宋_GB2312" w:cs="仿宋_GB2312"/>
                <w:sz w:val="24"/>
                <w:szCs w:val="18"/>
                <w:lang w:val="en-US" w:eastAsia="zh-CN"/>
              </w:rPr>
              <w:t>人员</w:t>
            </w:r>
            <w:r>
              <w:rPr>
                <w:rFonts w:hint="eastAsia" w:ascii="仿宋_GB2312" w:hAnsi="仿宋_GB2312" w:cs="仿宋_GB2312"/>
                <w:sz w:val="24"/>
                <w:szCs w:val="18"/>
              </w:rPr>
              <w:t>数量进行打分，0-5分。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371" w:type="pct"/>
            <w:vMerge w:val="continue"/>
            <w:vAlign w:val="center"/>
          </w:tcPr>
          <w:p>
            <w:pPr>
              <w:adjustRightInd w:val="0"/>
              <w:snapToGrid w:val="0"/>
              <w:jc w:val="left"/>
              <w:rPr>
                <w:rFonts w:hint="eastAsia" w:ascii="仿宋_GB2312" w:hAnsi="仿宋_GB2312" w:cs="仿宋_GB2312"/>
                <w:sz w:val="24"/>
                <w:szCs w:val="18"/>
              </w:rPr>
            </w:pPr>
          </w:p>
        </w:tc>
        <w:tc>
          <w:tcPr>
            <w:tcW w:w="245" w:type="pct"/>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7</w:t>
            </w:r>
          </w:p>
        </w:tc>
        <w:tc>
          <w:tcPr>
            <w:tcW w:w="786" w:type="pct"/>
            <w:shd w:val="clear" w:color="auto" w:fill="auto"/>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售后响应时间</w:t>
            </w:r>
          </w:p>
        </w:tc>
        <w:tc>
          <w:tcPr>
            <w:tcW w:w="500" w:type="pct"/>
            <w:shd w:val="clear" w:color="auto" w:fill="auto"/>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3095" w:type="pct"/>
            <w:shd w:val="clear" w:color="auto" w:fill="auto"/>
            <w:vAlign w:val="center"/>
          </w:tcPr>
          <w:p>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根据投标人售后服务的承诺和具体的保证措施，承诺到现场的响应时间进行打分，0-3分。</w:t>
            </w:r>
          </w:p>
        </w:tc>
      </w:tr>
    </w:tbl>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技术标80分及以上推荐入围商务标阶段</w:t>
      </w:r>
      <w:r>
        <w:rPr>
          <w:rFonts w:hint="eastAsia" w:ascii="宋体" w:hAnsi="宋体" w:eastAsia="宋体" w:cs="宋体"/>
          <w:color w:val="auto"/>
          <w:sz w:val="24"/>
          <w:szCs w:val="24"/>
        </w:rPr>
        <w:t>，评标过程中必须确保推荐的入围候选中标人，在功能、质量、先进性、业绩等方面均符合招标标准要求。</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评标方法</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b、评委打分超过得分界限或未按本方法赋分时，该评委的打分按废票处理。</w:t>
      </w:r>
    </w:p>
    <w:p>
      <w:pPr>
        <w:pStyle w:val="3"/>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p>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pPr>
        <w:pStyle w:val="19"/>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19"/>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pPr>
        <w:pStyle w:val="19"/>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pPr>
        <w:pStyle w:val="19"/>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1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19"/>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7"/>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lang w:eastAsia="zh-CN"/>
        </w:rPr>
        <w:t>（</w:t>
      </w:r>
      <w:r>
        <w:rPr>
          <w:rStyle w:val="47"/>
          <w:rFonts w:hint="eastAsia" w:ascii="宋体" w:hAnsi="宋体" w:eastAsia="宋体" w:cs="宋体"/>
          <w:sz w:val="24"/>
          <w:szCs w:val="24"/>
          <w:lang w:val="en-US" w:eastAsia="zh-CN"/>
        </w:rPr>
        <w:t>以下内容可能非最新版本，仅供参考，请登录系统网址后，点检查看最新版供应商手册</w:t>
      </w:r>
      <w:r>
        <w:rPr>
          <w:rStyle w:val="47"/>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9050" b="698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190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19"/>
      </w:pP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pPr>
        <w:pStyle w:val="19"/>
        <w:rPr>
          <w:rFonts w:hint="eastAsia" w:hAnsi="宋体" w:eastAsia="宋体" w:cs="Times New Roman"/>
          <w:b/>
          <w:color w:val="000000"/>
          <w:sz w:val="24"/>
          <w:szCs w:val="24"/>
          <w:lang w:val="en-US" w:eastAsia="zh-CN"/>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Ansi="宋体" w:eastAsia="宋体" w:cs="Times New Roman"/>
          <w:b/>
          <w:color w:val="000000"/>
          <w:sz w:val="24"/>
          <w:szCs w:val="24"/>
          <w:highlight w:val="none"/>
        </w:rPr>
      </w:pPr>
    </w:p>
    <w:p>
      <w:pPr>
        <w:pStyle w:val="19"/>
        <w:rPr>
          <w:rFonts w:hint="eastAsia"/>
          <w:highlight w:val="none"/>
          <w:lang w:val="en-US" w:eastAsia="zh-CN"/>
        </w:rPr>
      </w:pPr>
    </w:p>
    <w:sectPr>
      <w:headerReference r:id="rId35" w:type="first"/>
      <w:footerReference r:id="rId37" w:type="first"/>
      <w:headerReference r:id="rId34" w:type="default"/>
      <w:footerReference r:id="rId36"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42AF3B"/>
    <w:multiLevelType w:val="singleLevel"/>
    <w:tmpl w:val="AE42AF3B"/>
    <w:lvl w:ilvl="0" w:tentative="0">
      <w:start w:val="14"/>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DEE58A63"/>
    <w:multiLevelType w:val="singleLevel"/>
    <w:tmpl w:val="DEE58A63"/>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4">
    <w:nsid w:val="00000001"/>
    <w:multiLevelType w:val="multilevel"/>
    <w:tmpl w:val="00000001"/>
    <w:lvl w:ilvl="0" w:tentative="0">
      <w:start w:val="1"/>
      <w:numFmt w:val="decimal"/>
      <w:lvlText w:val="%1、"/>
      <w:lvlJc w:val="left"/>
      <w:pPr>
        <w:tabs>
          <w:tab w:val="left" w:pos="840"/>
        </w:tabs>
        <w:ind w:left="840" w:hanging="360"/>
      </w:pPr>
      <w:rPr>
        <w:rFonts w:hint="default"/>
        <w:u w:val="none"/>
      </w:rPr>
    </w:lvl>
    <w:lvl w:ilvl="1" w:tentative="0">
      <w:start w:val="1"/>
      <w:numFmt w:val="lowerLetter"/>
      <w:lvlText w:val="%2)"/>
      <w:lvlJc w:val="left"/>
      <w:pPr>
        <w:tabs>
          <w:tab w:val="left" w:pos="1320"/>
        </w:tabs>
        <w:ind w:left="1320" w:hanging="420"/>
      </w:pPr>
      <w:rPr>
        <w:rFonts w:hint="default"/>
        <w:u w:val="none"/>
      </w:rPr>
    </w:lvl>
    <w:lvl w:ilvl="2" w:tentative="0">
      <w:start w:val="1"/>
      <w:numFmt w:val="lowerRoman"/>
      <w:lvlText w:val="%3."/>
      <w:lvlJc w:val="right"/>
      <w:pPr>
        <w:tabs>
          <w:tab w:val="left" w:pos="1740"/>
        </w:tabs>
        <w:ind w:left="1740" w:hanging="420"/>
      </w:pPr>
      <w:rPr>
        <w:rFonts w:hint="default"/>
        <w:u w:val="none"/>
      </w:rPr>
    </w:lvl>
    <w:lvl w:ilvl="3" w:tentative="0">
      <w:start w:val="1"/>
      <w:numFmt w:val="decimal"/>
      <w:lvlText w:val="%4."/>
      <w:lvlJc w:val="left"/>
      <w:pPr>
        <w:tabs>
          <w:tab w:val="left" w:pos="2160"/>
        </w:tabs>
        <w:ind w:left="2160" w:hanging="420"/>
      </w:pPr>
      <w:rPr>
        <w:rFonts w:hint="default"/>
        <w:u w:val="none"/>
      </w:rPr>
    </w:lvl>
    <w:lvl w:ilvl="4" w:tentative="0">
      <w:start w:val="1"/>
      <w:numFmt w:val="lowerLetter"/>
      <w:lvlText w:val="%5)"/>
      <w:lvlJc w:val="left"/>
      <w:pPr>
        <w:tabs>
          <w:tab w:val="left" w:pos="2580"/>
        </w:tabs>
        <w:ind w:left="2580" w:hanging="420"/>
      </w:pPr>
      <w:rPr>
        <w:rFonts w:hint="default"/>
        <w:u w:val="none"/>
      </w:rPr>
    </w:lvl>
    <w:lvl w:ilvl="5" w:tentative="0">
      <w:start w:val="1"/>
      <w:numFmt w:val="lowerRoman"/>
      <w:lvlText w:val="%6."/>
      <w:lvlJc w:val="right"/>
      <w:pPr>
        <w:tabs>
          <w:tab w:val="left" w:pos="3000"/>
        </w:tabs>
        <w:ind w:left="3000" w:hanging="420"/>
      </w:pPr>
      <w:rPr>
        <w:rFonts w:hint="default"/>
        <w:u w:val="none"/>
      </w:rPr>
    </w:lvl>
    <w:lvl w:ilvl="6" w:tentative="0">
      <w:start w:val="1"/>
      <w:numFmt w:val="decimal"/>
      <w:lvlText w:val="%7."/>
      <w:lvlJc w:val="left"/>
      <w:pPr>
        <w:tabs>
          <w:tab w:val="left" w:pos="3420"/>
        </w:tabs>
        <w:ind w:left="3420" w:hanging="420"/>
      </w:pPr>
      <w:rPr>
        <w:rFonts w:hint="default"/>
        <w:u w:val="none"/>
      </w:rPr>
    </w:lvl>
    <w:lvl w:ilvl="7" w:tentative="0">
      <w:start w:val="1"/>
      <w:numFmt w:val="lowerLetter"/>
      <w:lvlText w:val="%8)"/>
      <w:lvlJc w:val="left"/>
      <w:pPr>
        <w:tabs>
          <w:tab w:val="left" w:pos="3840"/>
        </w:tabs>
        <w:ind w:left="3840" w:hanging="420"/>
      </w:pPr>
      <w:rPr>
        <w:rFonts w:hint="default"/>
        <w:u w:val="none"/>
      </w:rPr>
    </w:lvl>
    <w:lvl w:ilvl="8" w:tentative="0">
      <w:start w:val="1"/>
      <w:numFmt w:val="lowerRoman"/>
      <w:lvlText w:val="%9."/>
      <w:lvlJc w:val="right"/>
      <w:pPr>
        <w:tabs>
          <w:tab w:val="left" w:pos="4260"/>
        </w:tabs>
        <w:ind w:left="4260" w:hanging="420"/>
      </w:pPr>
      <w:rPr>
        <w:rFonts w:hint="default"/>
        <w:u w:val="none"/>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800A734"/>
    <w:multiLevelType w:val="singleLevel"/>
    <w:tmpl w:val="5800A734"/>
    <w:lvl w:ilvl="0" w:tentative="0">
      <w:start w:val="2"/>
      <w:numFmt w:val="decimal"/>
      <w:suff w:val="nothing"/>
      <w:lvlText w:val="%1、"/>
      <w:lvlJc w:val="left"/>
    </w:lvl>
  </w:abstractNum>
  <w:abstractNum w:abstractNumId="11">
    <w:nsid w:val="65DD6785"/>
    <w:multiLevelType w:val="multilevel"/>
    <w:tmpl w:val="65DD6785"/>
    <w:lvl w:ilvl="0" w:tentative="0">
      <w:start w:val="1"/>
      <w:numFmt w:val="decimal"/>
      <w:lvlText w:val="%1、"/>
      <w:lvlJc w:val="left"/>
      <w:pPr>
        <w:tabs>
          <w:tab w:val="left" w:pos="840"/>
        </w:tabs>
        <w:ind w:left="840" w:hanging="360"/>
      </w:pPr>
      <w:rPr>
        <w:rFonts w:hint="default"/>
        <w:u w:val="none"/>
      </w:rPr>
    </w:lvl>
    <w:lvl w:ilvl="1" w:tentative="0">
      <w:start w:val="1"/>
      <w:numFmt w:val="lowerLetter"/>
      <w:lvlText w:val="%2)"/>
      <w:lvlJc w:val="left"/>
      <w:pPr>
        <w:tabs>
          <w:tab w:val="left" w:pos="1320"/>
        </w:tabs>
        <w:ind w:left="1320" w:hanging="420"/>
      </w:pPr>
      <w:rPr>
        <w:rFonts w:hint="default"/>
        <w:u w:val="none"/>
      </w:rPr>
    </w:lvl>
    <w:lvl w:ilvl="2" w:tentative="0">
      <w:start w:val="1"/>
      <w:numFmt w:val="lowerRoman"/>
      <w:lvlText w:val="%3."/>
      <w:lvlJc w:val="right"/>
      <w:pPr>
        <w:tabs>
          <w:tab w:val="left" w:pos="1740"/>
        </w:tabs>
        <w:ind w:left="1740" w:hanging="420"/>
      </w:pPr>
      <w:rPr>
        <w:rFonts w:hint="default"/>
        <w:u w:val="none"/>
      </w:rPr>
    </w:lvl>
    <w:lvl w:ilvl="3" w:tentative="0">
      <w:start w:val="1"/>
      <w:numFmt w:val="decimal"/>
      <w:lvlText w:val="%4."/>
      <w:lvlJc w:val="left"/>
      <w:pPr>
        <w:tabs>
          <w:tab w:val="left" w:pos="2160"/>
        </w:tabs>
        <w:ind w:left="2160" w:hanging="420"/>
      </w:pPr>
      <w:rPr>
        <w:rFonts w:hint="default"/>
        <w:u w:val="none"/>
      </w:rPr>
    </w:lvl>
    <w:lvl w:ilvl="4" w:tentative="0">
      <w:start w:val="1"/>
      <w:numFmt w:val="lowerLetter"/>
      <w:lvlText w:val="%5)"/>
      <w:lvlJc w:val="left"/>
      <w:pPr>
        <w:tabs>
          <w:tab w:val="left" w:pos="2580"/>
        </w:tabs>
        <w:ind w:left="2580" w:hanging="420"/>
      </w:pPr>
      <w:rPr>
        <w:rFonts w:hint="default"/>
        <w:u w:val="none"/>
      </w:rPr>
    </w:lvl>
    <w:lvl w:ilvl="5" w:tentative="0">
      <w:start w:val="1"/>
      <w:numFmt w:val="lowerRoman"/>
      <w:lvlText w:val="%6."/>
      <w:lvlJc w:val="right"/>
      <w:pPr>
        <w:tabs>
          <w:tab w:val="left" w:pos="3000"/>
        </w:tabs>
        <w:ind w:left="3000" w:hanging="420"/>
      </w:pPr>
      <w:rPr>
        <w:rFonts w:hint="default"/>
        <w:u w:val="none"/>
      </w:rPr>
    </w:lvl>
    <w:lvl w:ilvl="6" w:tentative="0">
      <w:start w:val="1"/>
      <w:numFmt w:val="decimal"/>
      <w:lvlText w:val="%7."/>
      <w:lvlJc w:val="left"/>
      <w:pPr>
        <w:tabs>
          <w:tab w:val="left" w:pos="3420"/>
        </w:tabs>
        <w:ind w:left="3420" w:hanging="420"/>
      </w:pPr>
      <w:rPr>
        <w:rFonts w:hint="default"/>
        <w:u w:val="none"/>
      </w:rPr>
    </w:lvl>
    <w:lvl w:ilvl="7" w:tentative="0">
      <w:start w:val="1"/>
      <w:numFmt w:val="lowerLetter"/>
      <w:lvlText w:val="%8)"/>
      <w:lvlJc w:val="left"/>
      <w:pPr>
        <w:tabs>
          <w:tab w:val="left" w:pos="3840"/>
        </w:tabs>
        <w:ind w:left="3840" w:hanging="420"/>
      </w:pPr>
      <w:rPr>
        <w:rFonts w:hint="default"/>
        <w:u w:val="none"/>
      </w:rPr>
    </w:lvl>
    <w:lvl w:ilvl="8" w:tentative="0">
      <w:start w:val="1"/>
      <w:numFmt w:val="lowerRoman"/>
      <w:lvlText w:val="%9."/>
      <w:lvlJc w:val="right"/>
      <w:pPr>
        <w:tabs>
          <w:tab w:val="left" w:pos="4260"/>
        </w:tabs>
        <w:ind w:left="4260" w:hanging="420"/>
      </w:pPr>
      <w:rPr>
        <w:rFonts w:hint="default"/>
        <w:u w:val="none"/>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12"/>
  </w:num>
  <w:num w:numId="3">
    <w:abstractNumId w:val="0"/>
  </w:num>
  <w:num w:numId="4">
    <w:abstractNumId w:val="13"/>
  </w:num>
  <w:num w:numId="5">
    <w:abstractNumId w:val="7"/>
  </w:num>
  <w:num w:numId="6">
    <w:abstractNumId w:val="5"/>
  </w:num>
  <w:num w:numId="7">
    <w:abstractNumId w:val="9"/>
  </w:num>
  <w:num w:numId="8">
    <w:abstractNumId w:val="2"/>
  </w:num>
  <w:num w:numId="9">
    <w:abstractNumId w:val="8"/>
  </w:num>
  <w:num w:numId="10">
    <w:abstractNumId w:val="6"/>
  </w:num>
  <w:num w:numId="11">
    <w:abstractNumId w:val="4"/>
  </w:num>
  <w:num w:numId="12">
    <w:abstractNumId w:val="11"/>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9D18BB"/>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9276FC"/>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2AE7FBA"/>
    <w:rsid w:val="236356D1"/>
    <w:rsid w:val="23A91C83"/>
    <w:rsid w:val="23C962E8"/>
    <w:rsid w:val="241E7B2F"/>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7C0D61"/>
    <w:rsid w:val="2ADC05A4"/>
    <w:rsid w:val="2AEF2177"/>
    <w:rsid w:val="2B161149"/>
    <w:rsid w:val="2B1B2F6C"/>
    <w:rsid w:val="2B391645"/>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6A0BF4"/>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65FD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CF84DD4"/>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8464CB"/>
    <w:rsid w:val="45A95EE9"/>
    <w:rsid w:val="45FB0F21"/>
    <w:rsid w:val="46167166"/>
    <w:rsid w:val="46255415"/>
    <w:rsid w:val="4636719A"/>
    <w:rsid w:val="46380A1F"/>
    <w:rsid w:val="46BF3973"/>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76D80"/>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9FD6BCA"/>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520497"/>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D57FDE"/>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3"/>
    <w:qFormat/>
    <w:uiPriority w:val="9"/>
    <w:pPr>
      <w:keepNext/>
      <w:keepLines/>
      <w:jc w:val="center"/>
      <w:outlineLvl w:val="0"/>
    </w:pPr>
    <w:rPr>
      <w:b/>
      <w:bCs/>
      <w:kern w:val="44"/>
      <w:sz w:val="36"/>
      <w:szCs w:val="44"/>
    </w:rPr>
  </w:style>
  <w:style w:type="paragraph" w:styleId="3">
    <w:name w:val="heading 2"/>
    <w:basedOn w:val="1"/>
    <w:next w:val="1"/>
    <w:link w:val="54"/>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5"/>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line="480" w:lineRule="exact"/>
      <w:outlineLvl w:val="4"/>
    </w:pPr>
    <w:rPr>
      <w:bCs/>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6"/>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7"/>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next w:val="14"/>
    <w:link w:val="88"/>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List Bullet 5"/>
    <w:basedOn w:val="1"/>
    <w:semiHidden/>
    <w:unhideWhenUsed/>
    <w:qFormat/>
    <w:uiPriority w:val="99"/>
    <w:pPr>
      <w:numPr>
        <w:ilvl w:val="0"/>
        <w:numId w:val="1"/>
      </w:numPr>
    </w:pPr>
  </w:style>
  <w:style w:type="paragraph" w:styleId="15">
    <w:name w:val="Body Text Indent"/>
    <w:basedOn w:val="1"/>
    <w:link w:val="8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8"/>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9"/>
    <w:qFormat/>
    <w:uiPriority w:val="0"/>
    <w:pPr>
      <w:ind w:left="100" w:leftChars="2500"/>
    </w:pPr>
    <w:rPr>
      <w:sz w:val="24"/>
    </w:rPr>
  </w:style>
  <w:style w:type="paragraph" w:styleId="22">
    <w:name w:val="Body Text Indent 2"/>
    <w:basedOn w:val="1"/>
    <w:link w:val="57"/>
    <w:qFormat/>
    <w:uiPriority w:val="0"/>
    <w:pPr>
      <w:spacing w:after="120" w:line="480" w:lineRule="auto"/>
      <w:ind w:left="420" w:leftChars="200"/>
    </w:pPr>
  </w:style>
  <w:style w:type="paragraph" w:styleId="23">
    <w:name w:val="Balloon Text"/>
    <w:basedOn w:val="1"/>
    <w:link w:val="73"/>
    <w:qFormat/>
    <w:uiPriority w:val="0"/>
    <w:rPr>
      <w:sz w:val="18"/>
    </w:rPr>
  </w:style>
  <w:style w:type="paragraph" w:styleId="24">
    <w:name w:val="footer"/>
    <w:basedOn w:val="1"/>
    <w:link w:val="79"/>
    <w:qFormat/>
    <w:uiPriority w:val="99"/>
    <w:pPr>
      <w:tabs>
        <w:tab w:val="center" w:pos="4153"/>
        <w:tab w:val="right" w:pos="8306"/>
      </w:tabs>
      <w:snapToGrid w:val="0"/>
      <w:jc w:val="left"/>
    </w:pPr>
    <w:rPr>
      <w:sz w:val="18"/>
    </w:rPr>
  </w:style>
  <w:style w:type="paragraph" w:styleId="25">
    <w:name w:val="header"/>
    <w:basedOn w:val="1"/>
    <w:link w:val="65"/>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9"/>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link w:val="68"/>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1"/>
    <w:next w:val="11"/>
    <w:link w:val="58"/>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bCs/>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Definition"/>
    <w:basedOn w:val="40"/>
    <w:semiHidden/>
    <w:unhideWhenUsed/>
    <w:qFormat/>
    <w:uiPriority w:val="99"/>
    <w:rPr>
      <w:i/>
      <w:iCs/>
      <w:vertAlign w:val="baseline"/>
    </w:rPr>
  </w:style>
  <w:style w:type="character" w:styleId="46">
    <w:name w:val="HTML Acronym"/>
    <w:basedOn w:val="40"/>
    <w:qFormat/>
    <w:uiPriority w:val="99"/>
  </w:style>
  <w:style w:type="character" w:styleId="47">
    <w:name w:val="Hyperlink"/>
    <w:basedOn w:val="40"/>
    <w:qFormat/>
    <w:uiPriority w:val="99"/>
    <w:rPr>
      <w:color w:val="1F4F88"/>
      <w:u w:val="none"/>
    </w:rPr>
  </w:style>
  <w:style w:type="character" w:styleId="48">
    <w:name w:val="HTML Code"/>
    <w:basedOn w:val="40"/>
    <w:semiHidden/>
    <w:unhideWhenUsed/>
    <w:qFormat/>
    <w:uiPriority w:val="99"/>
    <w:rPr>
      <w:rFonts w:ascii="Consolas" w:hAnsi="Consolas" w:eastAsia="Consolas" w:cs="Consolas"/>
      <w:sz w:val="21"/>
      <w:szCs w:val="21"/>
    </w:rPr>
  </w:style>
  <w:style w:type="character" w:styleId="49">
    <w:name w:val="annotation reference"/>
    <w:basedOn w:val="40"/>
    <w:qFormat/>
    <w:uiPriority w:val="99"/>
    <w:rPr>
      <w:sz w:val="21"/>
    </w:rPr>
  </w:style>
  <w:style w:type="character" w:styleId="50">
    <w:name w:val="HTML Keyboard"/>
    <w:basedOn w:val="40"/>
    <w:semiHidden/>
    <w:unhideWhenUsed/>
    <w:qFormat/>
    <w:uiPriority w:val="99"/>
    <w:rPr>
      <w:rFonts w:hint="default" w:ascii="Consolas" w:hAnsi="Consolas" w:eastAsia="Consolas" w:cs="Consolas"/>
      <w:sz w:val="21"/>
      <w:szCs w:val="21"/>
    </w:rPr>
  </w:style>
  <w:style w:type="character" w:styleId="51">
    <w:name w:val="HTML Sample"/>
    <w:basedOn w:val="40"/>
    <w:semiHidden/>
    <w:unhideWhenUsed/>
    <w:qFormat/>
    <w:uiPriority w:val="99"/>
    <w:rPr>
      <w:rFonts w:hint="default" w:ascii="Consolas" w:hAnsi="Consolas" w:eastAsia="Consolas" w:cs="Consolas"/>
      <w:sz w:val="21"/>
      <w:szCs w:val="21"/>
    </w:rPr>
  </w:style>
  <w:style w:type="paragraph" w:customStyle="1" w:styleId="52">
    <w:name w:val="Fließtext"/>
    <w:basedOn w:val="1"/>
    <w:qFormat/>
    <w:uiPriority w:val="99"/>
    <w:pPr>
      <w:widowControl/>
      <w:ind w:left="1134"/>
      <w:jc w:val="left"/>
    </w:pPr>
    <w:rPr>
      <w:rFonts w:ascii="Arial" w:hAnsi="Arial"/>
      <w:kern w:val="0"/>
      <w:szCs w:val="20"/>
      <w:lang w:val="de-DE" w:eastAsia="de-DE"/>
    </w:rPr>
  </w:style>
  <w:style w:type="character" w:customStyle="1" w:styleId="53">
    <w:name w:val="标题 1 字符"/>
    <w:basedOn w:val="40"/>
    <w:link w:val="2"/>
    <w:qFormat/>
    <w:uiPriority w:val="9"/>
    <w:rPr>
      <w:rFonts w:ascii="Calibri" w:hAnsi="Calibri" w:eastAsia="宋体" w:cs="Times New Roman"/>
      <w:b/>
      <w:bCs/>
      <w:kern w:val="44"/>
      <w:sz w:val="36"/>
      <w:szCs w:val="44"/>
    </w:rPr>
  </w:style>
  <w:style w:type="character" w:customStyle="1" w:styleId="54">
    <w:name w:val="标题 2 字符"/>
    <w:basedOn w:val="40"/>
    <w:link w:val="3"/>
    <w:qFormat/>
    <w:uiPriority w:val="9"/>
    <w:rPr>
      <w:rFonts w:ascii="Arial" w:hAnsi="Arial" w:eastAsia="宋体" w:cs="Times New Roman"/>
      <w:b/>
      <w:bCs/>
      <w:sz w:val="24"/>
      <w:szCs w:val="32"/>
    </w:rPr>
  </w:style>
  <w:style w:type="character" w:customStyle="1" w:styleId="55">
    <w:name w:val="标题 3 字符"/>
    <w:basedOn w:val="40"/>
    <w:link w:val="4"/>
    <w:semiHidden/>
    <w:qFormat/>
    <w:uiPriority w:val="9"/>
    <w:rPr>
      <w:rFonts w:ascii="Calibri" w:hAnsi="Calibri" w:eastAsia="宋体" w:cs="Times New Roman"/>
      <w:b/>
      <w:bCs/>
      <w:sz w:val="32"/>
      <w:szCs w:val="32"/>
    </w:rPr>
  </w:style>
  <w:style w:type="character" w:customStyle="1" w:styleId="56">
    <w:name w:val="Char Char3"/>
    <w:qFormat/>
    <w:uiPriority w:val="0"/>
    <w:rPr>
      <w:rFonts w:ascii="宋体" w:hAnsi="Courier New" w:eastAsia="宋体"/>
      <w:kern w:val="2"/>
      <w:sz w:val="21"/>
      <w:lang w:val="en-US" w:eastAsia="zh-CN"/>
    </w:rPr>
  </w:style>
  <w:style w:type="character" w:customStyle="1" w:styleId="57">
    <w:name w:val="正文文本缩进 2 字符"/>
    <w:link w:val="22"/>
    <w:qFormat/>
    <w:locked/>
    <w:uiPriority w:val="0"/>
  </w:style>
  <w:style w:type="character" w:customStyle="1" w:styleId="58">
    <w:name w:val="批注主题 字符"/>
    <w:link w:val="36"/>
    <w:qFormat/>
    <w:locked/>
    <w:uiPriority w:val="0"/>
    <w:rPr>
      <w:b/>
    </w:rPr>
  </w:style>
  <w:style w:type="character" w:customStyle="1" w:styleId="59">
    <w:name w:val="正文文本缩进 3 字符"/>
    <w:link w:val="30"/>
    <w:qFormat/>
    <w:locked/>
    <w:uiPriority w:val="0"/>
    <w:rPr>
      <w:sz w:val="16"/>
    </w:rPr>
  </w:style>
  <w:style w:type="character" w:customStyle="1" w:styleId="60">
    <w:name w:val="纯文本 Char"/>
    <w:qFormat/>
    <w:uiPriority w:val="0"/>
    <w:rPr>
      <w:rFonts w:ascii="宋体" w:hAnsi="Courier New" w:eastAsia="宋体"/>
      <w:kern w:val="2"/>
      <w:sz w:val="21"/>
      <w:lang w:val="en-US" w:eastAsia="zh-CN"/>
    </w:rPr>
  </w:style>
  <w:style w:type="character" w:customStyle="1" w:styleId="61">
    <w:name w:val="Char Char2"/>
    <w:qFormat/>
    <w:uiPriority w:val="0"/>
    <w:rPr>
      <w:rFonts w:ascii="宋体" w:hAnsi="Courier New"/>
      <w:kern w:val="2"/>
      <w:sz w:val="21"/>
    </w:rPr>
  </w:style>
  <w:style w:type="character" w:customStyle="1" w:styleId="62">
    <w:name w:val="列出段落 字符"/>
    <w:link w:val="63"/>
    <w:qFormat/>
    <w:locked/>
    <w:uiPriority w:val="34"/>
    <w:rPr>
      <w:sz w:val="22"/>
    </w:rPr>
  </w:style>
  <w:style w:type="paragraph" w:customStyle="1" w:styleId="63">
    <w:name w:val="列出段落1"/>
    <w:basedOn w:val="1"/>
    <w:link w:val="62"/>
    <w:qFormat/>
    <w:uiPriority w:val="34"/>
    <w:pPr>
      <w:ind w:firstLine="420" w:firstLineChars="200"/>
    </w:pPr>
    <w:rPr>
      <w:sz w:val="22"/>
    </w:rPr>
  </w:style>
  <w:style w:type="character" w:customStyle="1" w:styleId="64">
    <w:name w:val="apple-converted-space"/>
    <w:basedOn w:val="40"/>
    <w:qFormat/>
    <w:uiPriority w:val="0"/>
    <w:rPr>
      <w:rFonts w:cs="Times New Roman"/>
    </w:rPr>
  </w:style>
  <w:style w:type="character" w:customStyle="1" w:styleId="65">
    <w:name w:val="页眉 字符"/>
    <w:link w:val="25"/>
    <w:qFormat/>
    <w:locked/>
    <w:uiPriority w:val="0"/>
    <w:rPr>
      <w:sz w:val="18"/>
    </w:rPr>
  </w:style>
  <w:style w:type="character" w:customStyle="1" w:styleId="66">
    <w:name w:val="BODY TEXT Char"/>
    <w:qFormat/>
    <w:locked/>
    <w:uiPriority w:val="0"/>
    <w:rPr>
      <w:rFonts w:eastAsia="新宋体"/>
      <w:kern w:val="2"/>
      <w:sz w:val="21"/>
    </w:rPr>
  </w:style>
  <w:style w:type="character" w:customStyle="1" w:styleId="67">
    <w:name w:val="批注文字 字符"/>
    <w:link w:val="11"/>
    <w:qFormat/>
    <w:locked/>
    <w:uiPriority w:val="0"/>
  </w:style>
  <w:style w:type="character" w:customStyle="1" w:styleId="68">
    <w:name w:val="标题 字符"/>
    <w:link w:val="35"/>
    <w:qFormat/>
    <w:locked/>
    <w:uiPriority w:val="0"/>
    <w:rPr>
      <w:rFonts w:ascii="Arial" w:hAnsi="Arial"/>
      <w:b/>
      <w:sz w:val="32"/>
    </w:rPr>
  </w:style>
  <w:style w:type="character" w:customStyle="1" w:styleId="69">
    <w:name w:val="日期 字符"/>
    <w:link w:val="21"/>
    <w:qFormat/>
    <w:locked/>
    <w:uiPriority w:val="0"/>
    <w:rPr>
      <w:sz w:val="24"/>
    </w:rPr>
  </w:style>
  <w:style w:type="character" w:customStyle="1" w:styleId="70">
    <w:name w:val="ATXT_Bullets Zchn"/>
    <w:link w:val="71"/>
    <w:qFormat/>
    <w:locked/>
    <w:uiPriority w:val="99"/>
    <w:rPr>
      <w:rFonts w:ascii="Arial" w:hAnsi="Arial"/>
      <w:lang w:val="de-AT" w:eastAsia="zh-CN"/>
    </w:rPr>
  </w:style>
  <w:style w:type="paragraph" w:customStyle="1" w:styleId="71">
    <w:name w:val="ATXT_Bullets"/>
    <w:link w:val="70"/>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qFormat/>
    <w:uiPriority w:val="0"/>
    <w:rPr>
      <w:rFonts w:ascii="宋体" w:hAnsi="Courier New" w:eastAsia="宋体"/>
      <w:kern w:val="2"/>
      <w:sz w:val="21"/>
      <w:lang w:val="en-US" w:eastAsia="zh-CN"/>
    </w:rPr>
  </w:style>
  <w:style w:type="character" w:customStyle="1" w:styleId="73">
    <w:name w:val="批注框文本 字符"/>
    <w:link w:val="23"/>
    <w:qFormat/>
    <w:locked/>
    <w:uiPriority w:val="0"/>
    <w:rPr>
      <w:sz w:val="18"/>
    </w:rPr>
  </w:style>
  <w:style w:type="character" w:customStyle="1" w:styleId="74">
    <w:name w:val="批注文字 Char"/>
    <w:qFormat/>
    <w:uiPriority w:val="0"/>
    <w:rPr>
      <w:kern w:val="2"/>
    </w:rPr>
  </w:style>
  <w:style w:type="character" w:customStyle="1" w:styleId="75">
    <w:name w:val="批注主题 Char"/>
    <w:qFormat/>
    <w:uiPriority w:val="0"/>
    <w:rPr>
      <w:b/>
      <w:kern w:val="2"/>
    </w:rPr>
  </w:style>
  <w:style w:type="character" w:customStyle="1" w:styleId="76">
    <w:name w:val="文档结构图 字符"/>
    <w:link w:val="9"/>
    <w:qFormat/>
    <w:locked/>
    <w:uiPriority w:val="0"/>
    <w:rPr>
      <w:sz w:val="24"/>
      <w:shd w:val="clear" w:color="auto" w:fill="000080"/>
    </w:rPr>
  </w:style>
  <w:style w:type="character" w:customStyle="1" w:styleId="77">
    <w:name w:val="HTML Markup"/>
    <w:qFormat/>
    <w:uiPriority w:val="0"/>
    <w:rPr>
      <w:vanish/>
      <w:color w:val="FF0000"/>
    </w:rPr>
  </w:style>
  <w:style w:type="character" w:customStyle="1" w:styleId="78">
    <w:name w:val="纯文本 字符"/>
    <w:link w:val="19"/>
    <w:qFormat/>
    <w:locked/>
    <w:uiPriority w:val="0"/>
    <w:rPr>
      <w:rFonts w:ascii="宋体" w:hAnsi="Courier New"/>
    </w:rPr>
  </w:style>
  <w:style w:type="character" w:customStyle="1" w:styleId="79">
    <w:name w:val="页脚 字符"/>
    <w:link w:val="24"/>
    <w:qFormat/>
    <w:locked/>
    <w:uiPriority w:val="99"/>
    <w:rPr>
      <w:sz w:val="18"/>
    </w:rPr>
  </w:style>
  <w:style w:type="character" w:customStyle="1" w:styleId="80">
    <w:name w:val="Default Char"/>
    <w:link w:val="81"/>
    <w:qFormat/>
    <w:locked/>
    <w:uiPriority w:val="0"/>
    <w:rPr>
      <w:rFonts w:ascii="仿宋_GB2312" w:eastAsia="仿宋_GB2312"/>
      <w:color w:val="000000"/>
      <w:sz w:val="24"/>
    </w:rPr>
  </w:style>
  <w:style w:type="paragraph" w:customStyle="1" w:styleId="81">
    <w:name w:val="Default"/>
    <w:link w:val="80"/>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2">
    <w:name w:val="页脚 Char"/>
    <w:qFormat/>
    <w:locked/>
    <w:uiPriority w:val="99"/>
    <w:rPr>
      <w:sz w:val="18"/>
    </w:rPr>
  </w:style>
  <w:style w:type="character" w:customStyle="1" w:styleId="83">
    <w:name w:val="批注文字 字符1"/>
    <w:basedOn w:val="40"/>
    <w:semiHidden/>
    <w:qFormat/>
    <w:uiPriority w:val="99"/>
  </w:style>
  <w:style w:type="character" w:customStyle="1" w:styleId="84">
    <w:name w:val="批注文字 字符11"/>
    <w:basedOn w:val="40"/>
    <w:qFormat/>
    <w:uiPriority w:val="0"/>
    <w:rPr>
      <w:rFonts w:cs="Times New Roman"/>
      <w:kern w:val="2"/>
      <w:sz w:val="21"/>
    </w:rPr>
  </w:style>
  <w:style w:type="character" w:customStyle="1" w:styleId="85">
    <w:name w:val="正文文本缩进 字符"/>
    <w:basedOn w:val="40"/>
    <w:link w:val="15"/>
    <w:qFormat/>
    <w:uiPriority w:val="99"/>
    <w:rPr>
      <w:rFonts w:ascii="Calibri" w:hAnsi="Calibri" w:eastAsia="宋体" w:cs="Times New Roman"/>
      <w:szCs w:val="20"/>
    </w:rPr>
  </w:style>
  <w:style w:type="character" w:customStyle="1" w:styleId="86">
    <w:name w:val="文档结构图 字符1"/>
    <w:basedOn w:val="40"/>
    <w:semiHidden/>
    <w:qFormat/>
    <w:uiPriority w:val="99"/>
    <w:rPr>
      <w:rFonts w:ascii="Microsoft YaHei UI" w:eastAsia="Microsoft YaHei UI"/>
      <w:sz w:val="18"/>
      <w:szCs w:val="18"/>
    </w:rPr>
  </w:style>
  <w:style w:type="character" w:customStyle="1" w:styleId="87">
    <w:name w:val="文档结构图 字符11"/>
    <w:basedOn w:val="40"/>
    <w:semiHidden/>
    <w:qFormat/>
    <w:uiPriority w:val="99"/>
    <w:rPr>
      <w:rFonts w:ascii="Microsoft YaHei UI" w:eastAsia="Microsoft YaHei UI" w:cs="Times New Roman"/>
      <w:kern w:val="2"/>
      <w:sz w:val="18"/>
      <w:szCs w:val="18"/>
    </w:rPr>
  </w:style>
  <w:style w:type="character" w:customStyle="1" w:styleId="88">
    <w:name w:val="正文文本 字符"/>
    <w:basedOn w:val="40"/>
    <w:link w:val="13"/>
    <w:qFormat/>
    <w:uiPriority w:val="99"/>
    <w:rPr>
      <w:rFonts w:ascii="Calibri" w:hAnsi="Calibri" w:eastAsia="新宋体" w:cs="Times New Roman"/>
      <w:szCs w:val="21"/>
    </w:rPr>
  </w:style>
  <w:style w:type="character" w:customStyle="1" w:styleId="89">
    <w:name w:val="纯文本 字符1"/>
    <w:basedOn w:val="40"/>
    <w:semiHidden/>
    <w:qFormat/>
    <w:uiPriority w:val="99"/>
    <w:rPr>
      <w:rFonts w:hAnsi="Courier New" w:cs="Courier New" w:asciiTheme="minorEastAsia"/>
    </w:rPr>
  </w:style>
  <w:style w:type="character" w:customStyle="1" w:styleId="90">
    <w:name w:val="纯文本 字符11"/>
    <w:basedOn w:val="40"/>
    <w:qFormat/>
    <w:uiPriority w:val="0"/>
    <w:rPr>
      <w:rFonts w:hAnsi="Courier New" w:cs="Courier New" w:asciiTheme="minorEastAsia" w:eastAsiaTheme="minorEastAsia"/>
      <w:kern w:val="2"/>
      <w:sz w:val="21"/>
    </w:rPr>
  </w:style>
  <w:style w:type="character" w:customStyle="1" w:styleId="91">
    <w:name w:val="页眉 字符1"/>
    <w:basedOn w:val="40"/>
    <w:semiHidden/>
    <w:qFormat/>
    <w:uiPriority w:val="99"/>
    <w:rPr>
      <w:sz w:val="18"/>
      <w:szCs w:val="18"/>
    </w:rPr>
  </w:style>
  <w:style w:type="character" w:customStyle="1" w:styleId="92">
    <w:name w:val="页眉 字符11"/>
    <w:basedOn w:val="40"/>
    <w:semiHidden/>
    <w:qFormat/>
    <w:uiPriority w:val="99"/>
    <w:rPr>
      <w:rFonts w:cs="Times New Roman"/>
      <w:kern w:val="2"/>
      <w:sz w:val="18"/>
      <w:szCs w:val="18"/>
    </w:rPr>
  </w:style>
  <w:style w:type="character" w:customStyle="1" w:styleId="93">
    <w:name w:val="批注框文本 字符1"/>
    <w:basedOn w:val="40"/>
    <w:semiHidden/>
    <w:qFormat/>
    <w:uiPriority w:val="99"/>
    <w:rPr>
      <w:sz w:val="18"/>
      <w:szCs w:val="18"/>
    </w:rPr>
  </w:style>
  <w:style w:type="character" w:customStyle="1" w:styleId="94">
    <w:name w:val="批注框文本 字符11"/>
    <w:basedOn w:val="40"/>
    <w:semiHidden/>
    <w:qFormat/>
    <w:uiPriority w:val="99"/>
    <w:rPr>
      <w:rFonts w:cs="Times New Roman"/>
      <w:kern w:val="2"/>
      <w:sz w:val="18"/>
      <w:szCs w:val="18"/>
    </w:rPr>
  </w:style>
  <w:style w:type="character" w:customStyle="1" w:styleId="95">
    <w:name w:val="日期 字符1"/>
    <w:basedOn w:val="40"/>
    <w:semiHidden/>
    <w:qFormat/>
    <w:uiPriority w:val="99"/>
  </w:style>
  <w:style w:type="character" w:customStyle="1" w:styleId="96">
    <w:name w:val="日期 字符11"/>
    <w:basedOn w:val="40"/>
    <w:semiHidden/>
    <w:qFormat/>
    <w:uiPriority w:val="99"/>
    <w:rPr>
      <w:rFonts w:cs="Times New Roman"/>
      <w:kern w:val="2"/>
      <w:sz w:val="21"/>
    </w:rPr>
  </w:style>
  <w:style w:type="character" w:customStyle="1" w:styleId="97">
    <w:name w:val="页脚 字符1"/>
    <w:basedOn w:val="40"/>
    <w:semiHidden/>
    <w:qFormat/>
    <w:uiPriority w:val="99"/>
    <w:rPr>
      <w:sz w:val="18"/>
      <w:szCs w:val="18"/>
    </w:rPr>
  </w:style>
  <w:style w:type="character" w:customStyle="1" w:styleId="98">
    <w:name w:val="页脚 字符11"/>
    <w:basedOn w:val="40"/>
    <w:semiHidden/>
    <w:qFormat/>
    <w:uiPriority w:val="99"/>
    <w:rPr>
      <w:rFonts w:cs="Times New Roman"/>
      <w:kern w:val="2"/>
      <w:sz w:val="18"/>
      <w:szCs w:val="18"/>
    </w:rPr>
  </w:style>
  <w:style w:type="character" w:customStyle="1" w:styleId="99">
    <w:name w:val="正文文本缩进 2 字符1"/>
    <w:basedOn w:val="40"/>
    <w:semiHidden/>
    <w:qFormat/>
    <w:uiPriority w:val="99"/>
  </w:style>
  <w:style w:type="character" w:customStyle="1" w:styleId="100">
    <w:name w:val="正文文本缩进 2 字符11"/>
    <w:basedOn w:val="40"/>
    <w:semiHidden/>
    <w:qFormat/>
    <w:uiPriority w:val="99"/>
    <w:rPr>
      <w:rFonts w:cs="Times New Roman"/>
      <w:kern w:val="2"/>
      <w:sz w:val="21"/>
    </w:rPr>
  </w:style>
  <w:style w:type="character" w:customStyle="1" w:styleId="101">
    <w:name w:val="正文文本缩进 3 字符1"/>
    <w:basedOn w:val="40"/>
    <w:semiHidden/>
    <w:qFormat/>
    <w:uiPriority w:val="99"/>
    <w:rPr>
      <w:sz w:val="16"/>
      <w:szCs w:val="16"/>
    </w:rPr>
  </w:style>
  <w:style w:type="character" w:customStyle="1" w:styleId="102">
    <w:name w:val="正文文本缩进 3 字符11"/>
    <w:basedOn w:val="40"/>
    <w:semiHidden/>
    <w:qFormat/>
    <w:uiPriority w:val="99"/>
    <w:rPr>
      <w:rFonts w:cs="Times New Roman"/>
      <w:kern w:val="2"/>
      <w:sz w:val="16"/>
      <w:szCs w:val="16"/>
    </w:rPr>
  </w:style>
  <w:style w:type="character" w:customStyle="1" w:styleId="103">
    <w:name w:val="批注主题 字符1"/>
    <w:basedOn w:val="83"/>
    <w:semiHidden/>
    <w:qFormat/>
    <w:uiPriority w:val="99"/>
    <w:rPr>
      <w:b/>
      <w:bCs/>
    </w:rPr>
  </w:style>
  <w:style w:type="character" w:customStyle="1" w:styleId="104">
    <w:name w:val="批注主题 字符11"/>
    <w:basedOn w:val="84"/>
    <w:semiHidden/>
    <w:qFormat/>
    <w:uiPriority w:val="99"/>
    <w:rPr>
      <w:rFonts w:cs="Times New Roman"/>
      <w:b/>
      <w:bCs/>
      <w:kern w:val="2"/>
      <w:sz w:val="21"/>
    </w:rPr>
  </w:style>
  <w:style w:type="character" w:customStyle="1" w:styleId="105">
    <w:name w:val="标题 字符1"/>
    <w:basedOn w:val="40"/>
    <w:qFormat/>
    <w:uiPriority w:val="10"/>
    <w:rPr>
      <w:rFonts w:asciiTheme="majorHAnsi" w:hAnsiTheme="majorHAnsi" w:eastAsiaTheme="majorEastAsia" w:cstheme="majorBidi"/>
      <w:b/>
      <w:bCs/>
      <w:sz w:val="32"/>
      <w:szCs w:val="32"/>
    </w:rPr>
  </w:style>
  <w:style w:type="character" w:customStyle="1" w:styleId="106">
    <w:name w:val="标题 字符11"/>
    <w:basedOn w:val="40"/>
    <w:qFormat/>
    <w:uiPriority w:val="10"/>
    <w:rPr>
      <w:rFonts w:cs="Times New Roman" w:asciiTheme="majorHAnsi" w:hAnsiTheme="majorHAnsi" w:eastAsiaTheme="majorEastAsia"/>
      <w:b/>
      <w:bCs/>
      <w:kern w:val="2"/>
      <w:sz w:val="32"/>
      <w:szCs w:val="32"/>
    </w:rPr>
  </w:style>
  <w:style w:type="paragraph" w:customStyle="1" w:styleId="107">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8">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9">
    <w:name w:val="二级列表 Char"/>
    <w:basedOn w:val="1"/>
    <w:qFormat/>
    <w:uiPriority w:val="0"/>
    <w:rPr>
      <w:rFonts w:ascii="Calibri" w:hAnsi="Calibri" w:eastAsia="宋体" w:cs="Times New Roman"/>
      <w:szCs w:val="20"/>
    </w:rPr>
  </w:style>
  <w:style w:type="paragraph" w:customStyle="1" w:styleId="110">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9"/>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3"/>
    <w:link w:val="123"/>
    <w:qFormat/>
    <w:uiPriority w:val="0"/>
    <w:pPr>
      <w:spacing w:line="240" w:lineRule="auto"/>
      <w:jc w:val="left"/>
    </w:pPr>
    <w:rPr>
      <w:rFonts w:ascii="宋体" w:hAnsi="宋体" w:eastAsia="黑体"/>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4"/>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无间隔1"/>
    <w:qFormat/>
    <w:uiPriority w:val="0"/>
    <w:rPr>
      <w:rFonts w:ascii="Calibri" w:hAnsi="Calibri" w:eastAsia="Calibri" w:cs="Times New Roman"/>
      <w:szCs w:val="22"/>
      <w:lang w:val="en-GB" w:eastAsia="en-US" w:bidi="ar-SA"/>
    </w:rPr>
  </w:style>
  <w:style w:type="character" w:customStyle="1" w:styleId="140">
    <w:name w:val="font21"/>
    <w:basedOn w:val="40"/>
    <w:qFormat/>
    <w:uiPriority w:val="0"/>
    <w:rPr>
      <w:rFonts w:hint="eastAsia" w:ascii="宋体" w:hAnsi="宋体" w:eastAsia="宋体" w:cs="宋体"/>
      <w:color w:val="000000"/>
      <w:sz w:val="24"/>
      <w:szCs w:val="24"/>
      <w:u w:val="none"/>
    </w:rPr>
  </w:style>
  <w:style w:type="character" w:customStyle="1" w:styleId="141">
    <w:name w:val="font01"/>
    <w:basedOn w:val="40"/>
    <w:qFormat/>
    <w:uiPriority w:val="0"/>
    <w:rPr>
      <w:rFonts w:hint="eastAsia" w:ascii="宋体" w:hAnsi="宋体" w:eastAsia="宋体" w:cs="宋体"/>
      <w:color w:val="000000"/>
      <w:sz w:val="18"/>
      <w:szCs w:val="18"/>
      <w:u w:val="none"/>
    </w:rPr>
  </w:style>
  <w:style w:type="character" w:customStyle="1" w:styleId="142">
    <w:name w:val="15"/>
    <w:qFormat/>
    <w:uiPriority w:val="0"/>
    <w:rPr>
      <w:rFonts w:hint="eastAsia" w:ascii="微软雅黑" w:hAnsi="微软雅黑" w:eastAsia="微软雅黑"/>
      <w:color w:val="000000"/>
      <w:sz w:val="22"/>
      <w:szCs w:val="22"/>
    </w:rPr>
  </w:style>
  <w:style w:type="paragraph" w:customStyle="1" w:styleId="143">
    <w:name w:val="1正文段落"/>
    <w:basedOn w:val="1"/>
    <w:qFormat/>
    <w:uiPriority w:val="0"/>
    <w:pPr>
      <w:spacing w:line="360" w:lineRule="auto"/>
      <w:ind w:firstLine="480" w:firstLineChars="200"/>
      <w:jc w:val="left"/>
    </w:pPr>
    <w:rPr>
      <w:kern w:val="0"/>
      <w:szCs w:val="20"/>
    </w:rPr>
  </w:style>
  <w:style w:type="character" w:customStyle="1" w:styleId="144">
    <w:name w:val="ant-tree-checkbox8"/>
    <w:basedOn w:val="40"/>
    <w:qFormat/>
    <w:uiPriority w:val="0"/>
  </w:style>
  <w:style w:type="character" w:customStyle="1" w:styleId="145">
    <w:name w:val="ant-select-tree-iconele"/>
    <w:basedOn w:val="40"/>
    <w:qFormat/>
    <w:uiPriority w:val="0"/>
  </w:style>
  <w:style w:type="character" w:customStyle="1" w:styleId="146">
    <w:name w:val="wea-dropdown-triangle"/>
    <w:basedOn w:val="40"/>
    <w:qFormat/>
    <w:uiPriority w:val="0"/>
  </w:style>
  <w:style w:type="character" w:customStyle="1" w:styleId="147">
    <w:name w:val="button"/>
    <w:basedOn w:val="40"/>
    <w:qFormat/>
    <w:uiPriority w:val="0"/>
  </w:style>
  <w:style w:type="character" w:customStyle="1" w:styleId="148">
    <w:name w:val="button1"/>
    <w:basedOn w:val="40"/>
    <w:qFormat/>
    <w:uiPriority w:val="0"/>
  </w:style>
  <w:style w:type="character" w:customStyle="1" w:styleId="149">
    <w:name w:val="hover34"/>
    <w:basedOn w:val="40"/>
    <w:qFormat/>
    <w:uiPriority w:val="0"/>
    <w:rPr>
      <w:color w:val="009DFF"/>
    </w:rPr>
  </w:style>
  <w:style w:type="character" w:customStyle="1" w:styleId="150">
    <w:name w:val="hover35"/>
    <w:basedOn w:val="40"/>
    <w:qFormat/>
    <w:uiPriority w:val="0"/>
    <w:rPr>
      <w:color w:val="009DFF"/>
    </w:rPr>
  </w:style>
  <w:style w:type="character" w:customStyle="1" w:styleId="151">
    <w:name w:val="first-of-type"/>
    <w:basedOn w:val="40"/>
    <w:qFormat/>
    <w:uiPriority w:val="0"/>
    <w:rPr>
      <w:color w:val="FF0000"/>
    </w:rPr>
  </w:style>
  <w:style w:type="character" w:customStyle="1" w:styleId="152">
    <w:name w:val="first-of-type1"/>
    <w:basedOn w:val="40"/>
    <w:qFormat/>
    <w:uiPriority w:val="0"/>
    <w:rPr>
      <w:color w:val="FF0000"/>
    </w:rPr>
  </w:style>
  <w:style w:type="character" w:customStyle="1" w:styleId="153">
    <w:name w:val="not-pass-node"/>
    <w:basedOn w:val="40"/>
    <w:qFormat/>
    <w:uiPriority w:val="0"/>
    <w:rPr>
      <w:bdr w:val="single" w:color="5ABD6B" w:sz="6" w:space="0"/>
      <w:shd w:val="clear" w:fill="BFF3C3"/>
    </w:rPr>
  </w:style>
  <w:style w:type="character" w:customStyle="1" w:styleId="154">
    <w:name w:val="ant-tree-switcher8"/>
    <w:basedOn w:val="40"/>
    <w:qFormat/>
    <w:uiPriority w:val="0"/>
  </w:style>
  <w:style w:type="character" w:customStyle="1" w:styleId="155">
    <w:name w:val="ant-radio+*"/>
    <w:basedOn w:val="40"/>
    <w:qFormat/>
    <w:uiPriority w:val="0"/>
  </w:style>
  <w:style w:type="character" w:customStyle="1" w:styleId="156">
    <w:name w:val="ant-select-tree-checkbox"/>
    <w:basedOn w:val="40"/>
    <w:qFormat/>
    <w:uiPriority w:val="0"/>
  </w:style>
  <w:style w:type="character" w:customStyle="1" w:styleId="157">
    <w:name w:val="isrevision"/>
    <w:basedOn w:val="40"/>
    <w:qFormat/>
    <w:uiPriority w:val="0"/>
    <w:rPr>
      <w:color w:val="000000"/>
      <w:sz w:val="18"/>
      <w:szCs w:val="18"/>
      <w:bdr w:val="single" w:color="E9E9E9" w:sz="6" w:space="0"/>
      <w:shd w:val="clear" w:fill="FFFFFF"/>
    </w:rPr>
  </w:style>
  <w:style w:type="character" w:customStyle="1" w:styleId="158">
    <w:name w:val="disabled4"/>
    <w:basedOn w:val="40"/>
    <w:qFormat/>
    <w:uiPriority w:val="0"/>
    <w:rPr>
      <w:color w:val="AAAAAA"/>
      <w:shd w:val="clear" w:fill="F7F7F7"/>
    </w:rPr>
  </w:style>
  <w:style w:type="character" w:customStyle="1" w:styleId="159">
    <w:name w:val="auto-pass-node"/>
    <w:basedOn w:val="40"/>
    <w:qFormat/>
    <w:uiPriority w:val="0"/>
    <w:rPr>
      <w:bdr w:val="single" w:color="DC4446" w:sz="6" w:space="0"/>
      <w:shd w:val="clear" w:fill="A9E2FF"/>
    </w:rPr>
  </w:style>
  <w:style w:type="character" w:customStyle="1" w:styleId="160">
    <w:name w:val="ant-tree-iconele"/>
    <w:basedOn w:val="40"/>
    <w:qFormat/>
    <w:uiPriority w:val="0"/>
  </w:style>
  <w:style w:type="character" w:customStyle="1" w:styleId="161">
    <w:name w:val="wea-thumbnails-doc-content-subtitle"/>
    <w:basedOn w:val="40"/>
    <w:qFormat/>
    <w:uiPriority w:val="0"/>
    <w:rPr>
      <w:color w:val="9A9A9A"/>
    </w:rPr>
  </w:style>
  <w:style w:type="character" w:customStyle="1" w:styleId="162">
    <w:name w:val="ant-select-tree-switcher"/>
    <w:basedOn w:val="40"/>
    <w:qFormat/>
    <w:uiPriority w:val="0"/>
  </w:style>
  <w:style w:type="character" w:customStyle="1" w:styleId="163">
    <w:name w:val="ant-table-row-expand-icon3"/>
    <w:basedOn w:val="40"/>
    <w:qFormat/>
    <w:uiPriority w:val="0"/>
    <w:rPr>
      <w:vanish/>
    </w:rPr>
  </w:style>
  <w:style w:type="character" w:customStyle="1" w:styleId="164">
    <w:name w:val="passed-node"/>
    <w:basedOn w:val="40"/>
    <w:qFormat/>
    <w:uiPriority w:val="0"/>
    <w:rPr>
      <w:bdr w:val="single" w:color="49A8D4" w:sz="6" w:space="0"/>
      <w:shd w:val="clear" w:fill="A9E3FF"/>
    </w:rPr>
  </w:style>
  <w:style w:type="character" w:customStyle="1" w:styleId="165">
    <w:name w:val="current-node"/>
    <w:basedOn w:val="40"/>
    <w:qFormat/>
    <w:uiPriority w:val="0"/>
    <w:rPr>
      <w:bdr w:val="single" w:color="F5B87B" w:sz="6" w:space="0"/>
      <w:shd w:val="clear" w:fill="FFE8CC"/>
    </w:rPr>
  </w:style>
  <w:style w:type="character" w:customStyle="1" w:styleId="166">
    <w:name w:val="tmpztreemove_arrow"/>
    <w:basedOn w:val="40"/>
    <w:qFormat/>
    <w:uiPriority w:val="0"/>
  </w:style>
  <w:style w:type="character" w:customStyle="1" w:styleId="167">
    <w:name w:val="ant-tree-switcher10"/>
    <w:basedOn w:val="40"/>
    <w:qFormat/>
    <w:uiPriority w:val="0"/>
  </w:style>
  <w:style w:type="character" w:customStyle="1" w:styleId="168">
    <w:name w:val="ant-table-row-expand-icon"/>
    <w:basedOn w:val="40"/>
    <w:qFormat/>
    <w:uiPriority w:val="0"/>
    <w:rPr>
      <w:vanish/>
    </w:rPr>
  </w:style>
  <w:style w:type="character" w:customStyle="1" w:styleId="169">
    <w:name w:val="ant-select-tree-checkbox2"/>
    <w:basedOn w:val="40"/>
    <w:qFormat/>
    <w:uiPriority w:val="0"/>
  </w:style>
  <w:style w:type="character" w:customStyle="1" w:styleId="170">
    <w:name w:val="disabled"/>
    <w:basedOn w:val="40"/>
    <w:qFormat/>
    <w:uiPriority w:val="0"/>
    <w:rPr>
      <w:color w:val="AAAAAA"/>
      <w:shd w:val="clear" w:fill="F7F7F7"/>
    </w:rPr>
  </w:style>
  <w:style w:type="character" w:customStyle="1" w:styleId="171">
    <w:name w:val="ant-tree-checkbox7"/>
    <w:basedOn w:val="40"/>
    <w:qFormat/>
    <w:uiPriority w:val="0"/>
  </w:style>
  <w:style w:type="character" w:customStyle="1" w:styleId="172">
    <w:name w:val="ant-table-row-expand-icon4"/>
    <w:basedOn w:val="40"/>
    <w:qFormat/>
    <w:uiPriority w:val="0"/>
    <w:rPr>
      <w:vanish/>
    </w:rPr>
  </w:style>
  <w:style w:type="character" w:customStyle="1" w:styleId="173">
    <w:name w:val="hover30"/>
    <w:basedOn w:val="40"/>
    <w:qFormat/>
    <w:uiPriority w:val="0"/>
    <w:rPr>
      <w:color w:val="009DFF"/>
    </w:rPr>
  </w:style>
  <w:style w:type="character" w:customStyle="1" w:styleId="174">
    <w:name w:val="hover31"/>
    <w:basedOn w:val="40"/>
    <w:qFormat/>
    <w:uiPriority w:val="0"/>
    <w:rPr>
      <w:color w:val="009DFF"/>
    </w:rPr>
  </w:style>
  <w:style w:type="character" w:customStyle="1" w:styleId="175">
    <w:name w:val="ant-tree-checkbox"/>
    <w:basedOn w:val="40"/>
    <w:qFormat/>
    <w:uiPriority w:val="0"/>
  </w:style>
  <w:style w:type="character" w:customStyle="1" w:styleId="176">
    <w:name w:val="ant-tree-switcher"/>
    <w:basedOn w:val="40"/>
    <w:qFormat/>
    <w:uiPriority w:val="0"/>
  </w:style>
  <w:style w:type="character" w:customStyle="1" w:styleId="177">
    <w:name w:val="wea-dropdown-triangle2"/>
    <w:basedOn w:val="40"/>
    <w:qFormat/>
    <w:uiPriority w:val="0"/>
  </w:style>
  <w:style w:type="character" w:customStyle="1" w:styleId="178">
    <w:name w:val="ant-tree-switcher9"/>
    <w:basedOn w:val="40"/>
    <w:qFormat/>
    <w:uiPriority w:val="0"/>
  </w:style>
  <w:style w:type="character" w:customStyle="1" w:styleId="179">
    <w:name w:val="hover32"/>
    <w:basedOn w:val="40"/>
    <w:qFormat/>
    <w:uiPriority w:val="0"/>
    <w:rPr>
      <w:color w:val="009DFF"/>
    </w:rPr>
  </w:style>
  <w:style w:type="character" w:customStyle="1" w:styleId="180">
    <w:name w:val="ant-tree-switcher7"/>
    <w:basedOn w:val="40"/>
    <w:qFormat/>
    <w:uiPriority w:val="0"/>
  </w:style>
  <w:style w:type="character" w:customStyle="1" w:styleId="181">
    <w:name w:val="hover25"/>
    <w:basedOn w:val="40"/>
    <w:qFormat/>
    <w:uiPriority w:val="0"/>
    <w:rPr>
      <w:color w:val="009DFF"/>
    </w:rPr>
  </w:style>
  <w:style w:type="character" w:customStyle="1" w:styleId="182">
    <w:name w:val="hover26"/>
    <w:basedOn w:val="40"/>
    <w:qFormat/>
    <w:uiPriority w:val="0"/>
    <w:rPr>
      <w:color w:val="009DFF"/>
    </w:rPr>
  </w:style>
  <w:style w:type="paragraph" w:customStyle="1" w:styleId="183">
    <w:name w:val="Table Text"/>
    <w:basedOn w:val="1"/>
    <w:semiHidden/>
    <w:qFormat/>
    <w:uiPriority w:val="0"/>
    <w:rPr>
      <w:rFonts w:ascii="宋体" w:hAnsi="宋体" w:eastAsia="宋体" w:cs="宋体"/>
      <w:sz w:val="24"/>
      <w:szCs w:val="24"/>
      <w:lang w:val="en-US" w:eastAsia="en-US" w:bidi="ar-SA"/>
    </w:rPr>
  </w:style>
  <w:style w:type="paragraph" w:styleId="184">
    <w:name w:val="No Spacing"/>
    <w:qFormat/>
    <w:uiPriority w:val="1"/>
    <w:rPr>
      <w:rFonts w:ascii="等线" w:hAnsi="等线" w:eastAsia="等线" w:cs="Times New Roman"/>
      <w:sz w:val="21"/>
      <w:szCs w:val="21"/>
      <w:lang w:val="en-US" w:eastAsia="zh-CN" w:bidi="ar-SA"/>
    </w:rPr>
  </w:style>
  <w:style w:type="character" w:customStyle="1" w:styleId="185">
    <w:name w:val="Classification"/>
    <w:qFormat/>
    <w:uiPriority w:val="99"/>
    <w:rPr>
      <w:rFonts w:ascii="Calibri" w:hAnsi="Calibri" w:eastAsia="宋体" w:cs="Cordia New"/>
      <w:b/>
      <w:bCs/>
      <w:caps/>
      <w:color w:val="000000"/>
      <w:spacing w:val="20"/>
      <w:sz w:val="24"/>
      <w:szCs w:val="24"/>
    </w:rPr>
  </w:style>
  <w:style w:type="paragraph" w:customStyle="1" w:styleId="186">
    <w:name w:val="WPSOffice手动目录 2"/>
    <w:qFormat/>
    <w:uiPriority w:val="0"/>
    <w:pPr>
      <w:ind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emf"/><Relationship Id="rId4" Type="http://schemas.openxmlformats.org/officeDocument/2006/relationships/footer" Target="footer2.xml"/><Relationship Id="rId39" Type="http://schemas.openxmlformats.org/officeDocument/2006/relationships/oleObject" Target="embeddings/oleObject1.bin"/><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93</Pages>
  <Words>6125</Words>
  <Characters>6590</Characters>
  <Lines>364</Lines>
  <Paragraphs>102</Paragraphs>
  <TotalTime>15</TotalTime>
  <ScaleCrop>false</ScaleCrop>
  <LinksUpToDate>false</LinksUpToDate>
  <CharactersWithSpaces>6731</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Lenovo</cp:lastModifiedBy>
  <dcterms:modified xsi:type="dcterms:W3CDTF">2025-12-18T07:01:41Z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54F09B1D37084FBB90D499E0EB2DA5FB_13</vt:lpwstr>
  </property>
  <property fmtid="{D5CDD505-2E9C-101B-9397-08002B2CF9AE}" pid="4" name="KSOTemplateDocerSaveRecord">
    <vt:lpwstr>eyJoZGlkIjoiN2ZiZjhjZjUxYjg2N2Y1ZjY0NTc5ZGMxYTcwNjRmNWYiLCJ1c2VySWQiOiIzMDg0MzUwNTAifQ==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