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sz w:val="28"/>
          <w:szCs w:val="28"/>
          <w:highlight w:val="none"/>
        </w:rPr>
      </w:pPr>
      <w:r>
        <w:rPr>
          <w:rFonts w:hint="eastAsia" w:ascii="楷体_GB2312" w:hAnsi="宋体" w:eastAsia="楷体_GB2312"/>
          <w:sz w:val="52"/>
          <w:szCs w:val="52"/>
          <w:highlight w:val="none"/>
          <w:lang w:val="en-US" w:eastAsia="zh-CN"/>
        </w:rPr>
        <w:t>机械加工设备更新改造项目 子项3：中走丝线切割机床更新项目</w:t>
      </w:r>
    </w:p>
    <w:p w14:paraId="18CBF8EA">
      <w:pPr>
        <w:ind w:right="280"/>
        <w:jc w:val="center"/>
        <w:rPr>
          <w:sz w:val="28"/>
          <w:szCs w:val="28"/>
          <w:highlight w:val="none"/>
        </w:rPr>
      </w:pPr>
    </w:p>
    <w:p w14:paraId="6418E5FF">
      <w:pPr>
        <w:jc w:val="center"/>
        <w:rPr>
          <w:rFonts w:ascii="宋体" w:hAnsi="宋体" w:cs="宋体"/>
          <w:sz w:val="72"/>
          <w:szCs w:val="72"/>
          <w:highlight w:val="none"/>
        </w:rPr>
      </w:pPr>
      <w:r>
        <w:rPr>
          <w:rFonts w:hint="eastAsia" w:ascii="宋体" w:hAnsi="宋体" w:cs="宋体"/>
          <w:sz w:val="72"/>
          <w:szCs w:val="72"/>
          <w:highlight w:val="none"/>
        </w:rPr>
        <w:t>招标文件</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FSCZB2025120264</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w:t>
      </w:r>
      <w:r>
        <w:rPr>
          <w:rFonts w:hint="eastAsia" w:ascii="宋体" w:hAnsi="宋体"/>
          <w:sz w:val="28"/>
          <w:szCs w:val="28"/>
          <w:lang w:eastAsia="zh-CN"/>
        </w:rPr>
        <w:t>中国重汽集团杭州发动机有限公司</w:t>
      </w:r>
    </w:p>
    <w:p w14:paraId="0D8A0D9A">
      <w:pPr>
        <w:jc w:val="center"/>
        <w:rPr>
          <w:rFonts w:ascii="宋体" w:hAnsi="宋体"/>
          <w:sz w:val="28"/>
          <w:szCs w:val="28"/>
        </w:rPr>
      </w:pPr>
    </w:p>
    <w:p w14:paraId="09CB3C92">
      <w:pPr>
        <w:spacing w:line="480" w:lineRule="auto"/>
        <w:jc w:val="center"/>
        <w:rPr>
          <w:rFonts w:ascii="宋体" w:hAnsi="宋体"/>
          <w:b/>
          <w:bCs/>
          <w:sz w:val="48"/>
          <w:szCs w:val="48"/>
          <w:highlight w:val="non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12月</w:t>
      </w:r>
    </w:p>
    <w:p w14:paraId="6B778067">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35A69E4D">
          <w:pPr>
            <w:pStyle w:val="20"/>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_Toc23927 </w:instrText>
          </w:r>
          <w:r>
            <w:rPr>
              <w:rFonts w:hint="eastAsia" w:ascii="Calibri" w:hAnsi="Calibri"/>
              <w:bCs/>
              <w:kern w:val="44"/>
              <w:szCs w:val="44"/>
            </w:rPr>
            <w:fldChar w:fldCharType="separate"/>
          </w:r>
          <w:r>
            <w:rPr>
              <w:rFonts w:hint="eastAsia"/>
            </w:rPr>
            <w:t>第一部分  投标人须知</w:t>
          </w:r>
          <w:r>
            <w:tab/>
          </w:r>
          <w:r>
            <w:fldChar w:fldCharType="begin"/>
          </w:r>
          <w:r>
            <w:instrText xml:space="preserve"> PAGEREF _Toc23927 \h </w:instrText>
          </w:r>
          <w:r>
            <w:fldChar w:fldCharType="separate"/>
          </w:r>
          <w:r>
            <w:t>- 2 -</w:t>
          </w:r>
          <w:r>
            <w:fldChar w:fldCharType="end"/>
          </w:r>
          <w:r>
            <w:rPr>
              <w:rFonts w:hint="eastAsia" w:ascii="Calibri" w:hAnsi="Calibri"/>
              <w:bCs/>
              <w:kern w:val="44"/>
              <w:szCs w:val="44"/>
            </w:rPr>
            <w:fldChar w:fldCharType="end"/>
          </w:r>
        </w:p>
        <w:p w14:paraId="39051F0A">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_Toc16839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_Toc16839 \h </w:instrText>
          </w:r>
          <w:r>
            <w:fldChar w:fldCharType="separate"/>
          </w:r>
          <w:r>
            <w:t>- 10 -</w:t>
          </w:r>
          <w:r>
            <w:fldChar w:fldCharType="end"/>
          </w:r>
          <w:r>
            <w:rPr>
              <w:rFonts w:hint="eastAsia" w:ascii="Calibri" w:hAnsi="Calibri" w:eastAsia="宋体" w:cs="Times New Roman"/>
              <w:bCs/>
              <w:kern w:val="44"/>
              <w:szCs w:val="44"/>
            </w:rPr>
            <w:fldChar w:fldCharType="end"/>
          </w:r>
        </w:p>
        <w:p w14:paraId="4C8160F4">
          <w:pPr>
            <w:pStyle w:val="20"/>
            <w:tabs>
              <w:tab w:val="right" w:leader="dot" w:pos="9070"/>
              <w:tab w:val="clear" w:pos="8729"/>
            </w:tabs>
            <w:rPr>
              <w:rFonts w:hint="eastAsia" w:eastAsia="宋体"/>
              <w:lang w:val="en-US" w:eastAsia="zh-CN"/>
            </w:rPr>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_Toc16500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rPr>
              <w:rFonts w:hint="eastAsia"/>
              <w:lang w:val="en-US" w:eastAsia="zh-CN"/>
            </w:rPr>
            <w:t xml:space="preserve">- </w:t>
          </w:r>
          <w:r>
            <w:fldChar w:fldCharType="begin"/>
          </w:r>
          <w:r>
            <w:instrText xml:space="preserve"> PAGEREF _Toc16500 \h </w:instrText>
          </w:r>
          <w:r>
            <w:fldChar w:fldCharType="separate"/>
          </w:r>
          <w:r>
            <w:t>24</w:t>
          </w:r>
          <w:r>
            <w:fldChar w:fldCharType="end"/>
          </w:r>
          <w:r>
            <w:rPr>
              <w:rFonts w:hint="eastAsia" w:ascii="Calibri" w:hAnsi="Calibri" w:eastAsia="宋体" w:cs="Times New Roman"/>
              <w:bCs/>
              <w:kern w:val="44"/>
              <w:szCs w:val="44"/>
            </w:rPr>
            <w:fldChar w:fldCharType="end"/>
          </w:r>
          <w:r>
            <w:rPr>
              <w:rFonts w:hint="eastAsia" w:ascii="Calibri" w:hAnsi="Calibri" w:cs="Times New Roman"/>
              <w:bCs/>
              <w:kern w:val="44"/>
              <w:szCs w:val="44"/>
              <w:lang w:val="en-US" w:eastAsia="zh-CN"/>
            </w:rPr>
            <w:t xml:space="preserve"> </w:t>
          </w:r>
          <w:r>
            <w:t>-</w:t>
          </w:r>
        </w:p>
        <w:p w14:paraId="6617A57C">
          <w:pPr>
            <w:pStyle w:val="20"/>
          </w:pPr>
          <w:r>
            <w:rPr>
              <w:rFonts w:hint="eastAsia" w:ascii="Calibri" w:hAnsi="Calibri" w:eastAsia="宋体" w:cs="Times New Roman"/>
              <w:bCs/>
              <w:kern w:val="44"/>
              <w:szCs w:val="44"/>
            </w:rPr>
            <w:fldChar w:fldCharType="end"/>
          </w:r>
        </w:p>
      </w:sdtContent>
    </w:sdt>
    <w:p w14:paraId="582BF911">
      <w:pPr>
        <w:pStyle w:val="2"/>
        <w:tabs>
          <w:tab w:val="left" w:pos="2940"/>
        </w:tabs>
        <w:spacing w:line="360" w:lineRule="auto"/>
      </w:pPr>
      <w:r>
        <w:tab/>
      </w:r>
    </w:p>
    <w:p w14:paraId="29FEE1FC">
      <w:pPr>
        <w:pStyle w:val="2"/>
        <w:spacing w:line="360" w:lineRule="auto"/>
        <w:jc w:val="center"/>
      </w:pPr>
    </w:p>
    <w:p w14:paraId="14C82F88">
      <w:pPr>
        <w:pStyle w:val="2"/>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3D820EEC">
      <w:pPr>
        <w:pStyle w:val="71"/>
      </w:pPr>
      <w:bookmarkStart w:id="0" w:name="_Toc47976595"/>
      <w:bookmarkStart w:id="1" w:name="_Toc23927"/>
      <w:r>
        <w:rPr>
          <w:rFonts w:hint="eastAsia"/>
        </w:rPr>
        <w:t>第一部分  投标人须知</w:t>
      </w:r>
      <w:bookmarkEnd w:id="0"/>
      <w:bookmarkEnd w:id="1"/>
    </w:p>
    <w:p w14:paraId="418340F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96"/>
      <w:r>
        <w:rPr>
          <w:rFonts w:hint="eastAsia" w:cs="Times New Roman"/>
        </w:rPr>
        <w:t>项目</w:t>
      </w:r>
      <w:r>
        <w:rPr>
          <w:rFonts w:hint="eastAsia"/>
        </w:rPr>
        <w:t>介绍</w:t>
      </w:r>
      <w:bookmarkEnd w:id="2"/>
    </w:p>
    <w:p w14:paraId="6360E7CD">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rPr>
        <w:t>项目</w:t>
      </w:r>
      <w:r>
        <w:rPr>
          <w:rFonts w:hint="eastAsia"/>
          <w:highlight w:val="none"/>
        </w:rPr>
        <w:t>名称：</w:t>
      </w:r>
      <w:r>
        <w:rPr>
          <w:rFonts w:hint="eastAsia"/>
          <w:highlight w:val="none"/>
          <w:lang w:val="en-US" w:eastAsia="zh-CN"/>
        </w:rPr>
        <w:t>机械加工设备更新改造项目 子项3：中走丝线切割机床更新项目</w:t>
      </w:r>
    </w:p>
    <w:p w14:paraId="17A97EAA">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rPr>
        <w:t>项目编号：</w:t>
      </w:r>
      <w:r>
        <w:rPr>
          <w:rFonts w:hint="eastAsia"/>
          <w:highlight w:val="none"/>
          <w:lang w:val="en-US" w:eastAsia="zh-CN"/>
        </w:rPr>
        <w:t>FSCZB2025120264</w:t>
      </w:r>
    </w:p>
    <w:p w14:paraId="5C6CF56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rPr>
        <w:t>招标形式：</w:t>
      </w:r>
      <w:bookmarkStart w:id="3" w:name="_Toc47112482"/>
      <w:r>
        <w:rPr>
          <w:rFonts w:hint="eastAsia"/>
          <w:highlight w:val="none"/>
          <w:lang w:val="en-US" w:eastAsia="zh-CN"/>
        </w:rPr>
        <w:t>公开招标</w:t>
      </w:r>
    </w:p>
    <w:p w14:paraId="5AA8C1A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highlight w:val="none"/>
          <w:lang w:eastAsia="zh-CN"/>
        </w:rPr>
        <w:t>项目简介：本次项目主要</w:t>
      </w:r>
      <w:r>
        <w:rPr>
          <w:rFonts w:hint="eastAsia"/>
          <w:highlight w:val="none"/>
          <w:lang w:eastAsia="zh-CN"/>
        </w:rPr>
        <w:t>更新</w:t>
      </w:r>
      <w:r>
        <w:rPr>
          <w:highlight w:val="none"/>
          <w:lang w:eastAsia="zh-CN"/>
        </w:rPr>
        <w:t>1</w:t>
      </w:r>
      <w:r>
        <w:rPr>
          <w:rFonts w:hint="eastAsia"/>
          <w:highlight w:val="none"/>
          <w:lang w:eastAsia="zh-CN"/>
        </w:rPr>
        <w:t>台中走丝线切割机床，替代现有老旧设备，该设备为标准设备，可实现加工图形直接编辑，满足铸件和切片取样、模具维修等加工需求。</w:t>
      </w:r>
    </w:p>
    <w:p w14:paraId="151561C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u w:val="none"/>
          <w:lang w:val="en-US" w:eastAsia="zh-CN"/>
        </w:rPr>
      </w:pPr>
      <w:r>
        <w:rPr>
          <w:rFonts w:hint="eastAsia"/>
          <w:lang w:val="en-US" w:eastAsia="zh-CN"/>
        </w:rPr>
        <w:t>报价：</w:t>
      </w:r>
    </w:p>
    <w:p w14:paraId="40FB1354">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yellow"/>
          <w:u w:val="none"/>
          <w:lang w:val="en-US" w:eastAsia="zh-CN"/>
        </w:rPr>
      </w:pPr>
      <w:r>
        <w:rPr>
          <w:rFonts w:hint="eastAsia" w:ascii="宋体" w:hAnsi="宋体" w:eastAsia="宋体" w:cs="宋体"/>
          <w:i w:val="0"/>
          <w:iCs w:val="0"/>
          <w:caps w:val="0"/>
          <w:color w:val="0F1115"/>
          <w:spacing w:val="0"/>
          <w:sz w:val="21"/>
          <w:szCs w:val="21"/>
          <w:shd w:val="clear" w:fill="FFFFFF"/>
          <w:lang w:val="en-US" w:eastAsia="zh-CN"/>
        </w:rPr>
        <w:t>本</w:t>
      </w:r>
      <w:r>
        <w:rPr>
          <w:rFonts w:hint="eastAsia" w:ascii="宋体" w:hAnsi="宋体" w:eastAsia="宋体" w:cs="宋体"/>
          <w:i w:val="0"/>
          <w:iCs w:val="0"/>
          <w:caps w:val="0"/>
          <w:color w:val="0F1115"/>
          <w:spacing w:val="0"/>
          <w:sz w:val="21"/>
          <w:szCs w:val="21"/>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shd w:val="clear" w:fill="FFFFFF"/>
        </w:rPr>
        <w:t>。</w:t>
      </w:r>
    </w:p>
    <w:p w14:paraId="3B448AB2">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highlight w:val="none"/>
          <w:u w:val="none"/>
          <w:lang w:val="en-US" w:eastAsia="zh-CN"/>
        </w:rPr>
      </w:pPr>
      <w:r>
        <w:rPr>
          <w:rFonts w:hint="eastAsia" w:ascii="宋体" w:hAnsi="宋体" w:eastAsia="宋体" w:cs="宋体"/>
          <w:i w:val="0"/>
          <w:iCs w:val="0"/>
          <w:caps w:val="0"/>
          <w:color w:val="0F1115"/>
          <w:spacing w:val="0"/>
          <w:sz w:val="21"/>
          <w:szCs w:val="21"/>
          <w:shd w:val="clear" w:fill="FFFFFF"/>
        </w:rPr>
        <w:t>投标限价为</w:t>
      </w:r>
      <w:r>
        <w:rPr>
          <w:rFonts w:hint="eastAsia" w:ascii="宋体" w:hAnsi="宋体" w:eastAsia="宋体" w:cs="宋体"/>
          <w:i w:val="0"/>
          <w:iCs w:val="0"/>
          <w:caps w:val="0"/>
          <w:color w:val="0F1115"/>
          <w:spacing w:val="0"/>
          <w:sz w:val="21"/>
          <w:szCs w:val="21"/>
          <w:highlight w:val="none"/>
          <w:shd w:val="clear" w:fill="FFFFFF"/>
        </w:rPr>
        <w:t>人民币</w:t>
      </w:r>
      <w:r>
        <w:rPr>
          <w:rFonts w:hint="eastAsia" w:hAnsi="宋体" w:cs="宋体"/>
          <w:i w:val="0"/>
          <w:iCs w:val="0"/>
          <w:caps w:val="0"/>
          <w:color w:val="0F1115"/>
          <w:spacing w:val="0"/>
          <w:sz w:val="21"/>
          <w:szCs w:val="21"/>
          <w:highlight w:val="none"/>
          <w:shd w:val="clear" w:fill="FFFFFF"/>
          <w:lang w:val="en-US" w:eastAsia="zh-CN"/>
        </w:rPr>
        <w:t>9.8</w:t>
      </w:r>
      <w:r>
        <w:rPr>
          <w:rFonts w:hint="eastAsia" w:ascii="宋体" w:hAnsi="宋体" w:eastAsia="宋体" w:cs="宋体"/>
          <w:i w:val="0"/>
          <w:iCs w:val="0"/>
          <w:caps w:val="0"/>
          <w:color w:val="0F1115"/>
          <w:spacing w:val="0"/>
          <w:sz w:val="21"/>
          <w:szCs w:val="21"/>
          <w:highlight w:val="none"/>
          <w:shd w:val="clear" w:fill="FFFFFF"/>
          <w:lang w:val="en-US" w:eastAsia="zh-CN"/>
        </w:rPr>
        <w:t>万元</w:t>
      </w:r>
      <w:r>
        <w:rPr>
          <w:rFonts w:hint="eastAsia" w:ascii="宋体" w:hAnsi="宋体" w:eastAsia="宋体" w:cs="宋体"/>
          <w:i w:val="0"/>
          <w:iCs w:val="0"/>
          <w:caps w:val="0"/>
          <w:color w:val="0F1115"/>
          <w:spacing w:val="0"/>
          <w:sz w:val="21"/>
          <w:szCs w:val="21"/>
          <w:highlight w:val="none"/>
          <w:shd w:val="clear" w:fill="FFFFFF"/>
        </w:rPr>
        <w:t xml:space="preserve"> （含税，税率</w:t>
      </w:r>
      <w:r>
        <w:rPr>
          <w:rFonts w:hint="eastAsia" w:hAnsi="宋体" w:cs="宋体"/>
          <w:i w:val="0"/>
          <w:iCs w:val="0"/>
          <w:caps w:val="0"/>
          <w:color w:val="0F1115"/>
          <w:spacing w:val="0"/>
          <w:sz w:val="21"/>
          <w:szCs w:val="21"/>
          <w:highlight w:val="none"/>
          <w:shd w:val="clear" w:fill="FFFFFF"/>
          <w:lang w:val="en-US" w:eastAsia="zh-CN"/>
        </w:rPr>
        <w:t>13</w:t>
      </w:r>
      <w:r>
        <w:rPr>
          <w:rFonts w:hint="eastAsia" w:ascii="宋体" w:hAnsi="宋体" w:eastAsia="宋体" w:cs="宋体"/>
          <w:i w:val="0"/>
          <w:iCs w:val="0"/>
          <w:caps w:val="0"/>
          <w:color w:val="0F1115"/>
          <w:spacing w:val="0"/>
          <w:sz w:val="21"/>
          <w:szCs w:val="21"/>
          <w:highlight w:val="none"/>
          <w:shd w:val="clear" w:fill="FFFFFF"/>
        </w:rPr>
        <w:t>%），超过投标限价无法投标。</w:t>
      </w:r>
    </w:p>
    <w:p w14:paraId="67327B7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eastAsia="宋体" w:cs="Times New Roman"/>
          <w:highlight w:val="none"/>
          <w:u w:val="none"/>
          <w:lang w:val="en-US" w:eastAsia="zh-CN"/>
        </w:rPr>
      </w:pPr>
      <w:r>
        <w:rPr>
          <w:rFonts w:hint="eastAsia" w:ascii="Times New Roman" w:hAnsi="Times New Roman" w:cs="Times New Roman"/>
          <w:color w:val="000000"/>
          <w:sz w:val="24"/>
          <w:szCs w:val="24"/>
          <w:highlight w:val="none"/>
          <w:lang w:val="en-US" w:eastAsia="zh-CN"/>
        </w:rPr>
        <w:t>注：</w:t>
      </w:r>
      <w:r>
        <w:rPr>
          <w:rFonts w:hint="default" w:ascii="Times New Roman" w:hAnsi="Times New Roman" w:eastAsia="宋体" w:cs="Times New Roman"/>
          <w:color w:val="000000"/>
          <w:sz w:val="24"/>
          <w:szCs w:val="24"/>
          <w:highlight w:val="none"/>
        </w:rPr>
        <w:t>投标人</w:t>
      </w:r>
      <w:r>
        <w:rPr>
          <w:rFonts w:hint="eastAsia" w:ascii="Times New Roman" w:hAnsi="Times New Roman" w:cs="Times New Roman"/>
          <w:color w:val="000000"/>
          <w:sz w:val="24"/>
          <w:szCs w:val="24"/>
          <w:highlight w:val="none"/>
          <w:lang w:val="en-US" w:eastAsia="zh-CN"/>
        </w:rPr>
        <w:t>可以</w:t>
      </w:r>
      <w:r>
        <w:rPr>
          <w:rFonts w:hint="default" w:ascii="Times New Roman" w:hAnsi="Times New Roman" w:eastAsia="宋体" w:cs="Times New Roman"/>
          <w:color w:val="000000"/>
          <w:sz w:val="24"/>
          <w:szCs w:val="24"/>
          <w:highlight w:val="none"/>
        </w:rPr>
        <w:t>自行勘察现场，进行合理报价。投标总报价应包括设备费、原厂服务费及相关配件、随机资料、保险、税费、运杂、安装调试、与其他专业配合及可预见的风险以及其它不可预见等全部费用。</w:t>
      </w:r>
    </w:p>
    <w:p w14:paraId="4FF8F32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lang w:val="en-US" w:eastAsia="zh-CN"/>
        </w:rPr>
      </w:pPr>
      <w:r>
        <w:rPr>
          <w:rFonts w:hint="default" w:cs="Times New Roman"/>
          <w:lang w:val="en-US" w:eastAsia="zh-CN"/>
        </w:rPr>
        <w:t>资金来源：企业自筹，已落实。</w:t>
      </w:r>
    </w:p>
    <w:p w14:paraId="2A2F226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7DD6045B">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招标人名称：中国重汽集团杭州发动机有限公司 </w:t>
      </w:r>
    </w:p>
    <w:p w14:paraId="4842B46D">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宋体" w:eastAsia="宋体" w:cs="宋体"/>
          <w:b w:val="0"/>
          <w:bCs w:val="0"/>
          <w:sz w:val="21"/>
          <w:szCs w:val="21"/>
          <w:highlight w:val="none"/>
        </w:rPr>
        <w:t>报名及投标招标事宜联系人：</w:t>
      </w:r>
      <w:r>
        <w:rPr>
          <w:rFonts w:hint="eastAsia" w:ascii="宋体" w:hAnsi="Courier New" w:cs="Times New Roman"/>
          <w:b w:val="0"/>
          <w:bCs w:val="0"/>
          <w:kern w:val="2"/>
          <w:sz w:val="21"/>
          <w:highlight w:val="none"/>
          <w:lang w:val="en-US" w:eastAsia="zh-CN" w:bidi="ar-SA"/>
        </w:rPr>
        <w:t>王瑄</w:t>
      </w:r>
    </w:p>
    <w:p w14:paraId="71154E14">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5786</w:t>
      </w:r>
    </w:p>
    <w:p w14:paraId="412224C5">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color w:val="auto"/>
          <w:kern w:val="2"/>
          <w:sz w:val="21"/>
          <w:highlight w:val="none"/>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highlight w:val="none"/>
          <w:lang w:val="en-US" w:eastAsia="zh-CN" w:bidi="ar-SA"/>
        </w:rPr>
        <w:fldChar w:fldCharType="begin"/>
      </w:r>
      <w:r>
        <w:rPr>
          <w:rFonts w:hint="eastAsia" w:ascii="宋体" w:hAnsi="Courier New" w:eastAsia="宋体" w:cs="Times New Roman"/>
          <w:color w:val="auto"/>
          <w:kern w:val="2"/>
          <w:sz w:val="21"/>
          <w:highlight w:val="none"/>
          <w:lang w:val="en-US" w:eastAsia="zh-CN" w:bidi="ar-SA"/>
        </w:rPr>
        <w:instrText xml:space="preserve"> HYPERLINK "mailto:lvyidi@sinotruk.com" </w:instrText>
      </w:r>
      <w:r>
        <w:rPr>
          <w:rFonts w:hint="eastAsia" w:ascii="宋体" w:hAnsi="Courier New" w:eastAsia="宋体" w:cs="Times New Roman"/>
          <w:color w:val="auto"/>
          <w:kern w:val="2"/>
          <w:sz w:val="21"/>
          <w:highlight w:val="none"/>
          <w:lang w:val="en-US" w:eastAsia="zh-CN" w:bidi="ar-SA"/>
        </w:rPr>
        <w:fldChar w:fldCharType="separate"/>
      </w:r>
      <w:r>
        <w:rPr>
          <w:rFonts w:hint="eastAsia" w:ascii="宋体" w:hAnsi="Courier New" w:cs="Times New Roman"/>
          <w:color w:val="auto"/>
          <w:kern w:val="2"/>
          <w:sz w:val="21"/>
          <w:highlight w:val="none"/>
          <w:lang w:val="en-US" w:eastAsia="zh-CN" w:bidi="ar-SA"/>
        </w:rPr>
        <w:t>wangxuan1</w:t>
      </w:r>
      <w:r>
        <w:rPr>
          <w:rStyle w:val="37"/>
          <w:rFonts w:hint="eastAsia" w:ascii="宋体" w:hAnsi="Courier New" w:eastAsia="宋体" w:cs="Times New Roman"/>
          <w:color w:val="auto"/>
          <w:kern w:val="2"/>
          <w:sz w:val="21"/>
          <w:highlight w:val="none"/>
          <w:lang w:val="en-US" w:eastAsia="zh-CN" w:bidi="ar-SA"/>
        </w:rPr>
        <w:t>@sinotruk.com</w:t>
      </w:r>
      <w:r>
        <w:rPr>
          <w:rFonts w:hint="eastAsia" w:ascii="宋体" w:hAnsi="Courier New" w:eastAsia="宋体" w:cs="Times New Roman"/>
          <w:color w:val="auto"/>
          <w:kern w:val="2"/>
          <w:sz w:val="21"/>
          <w:highlight w:val="none"/>
          <w:lang w:val="en-US" w:eastAsia="zh-CN" w:bidi="ar-SA"/>
        </w:rPr>
        <w:fldChar w:fldCharType="end"/>
      </w:r>
    </w:p>
    <w:p w14:paraId="424BC099">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ascii="宋体" w:hAnsi="Courier New" w:eastAsia="宋体" w:cs="Times New Roman"/>
          <w:kern w:val="2"/>
          <w:sz w:val="21"/>
          <w:highlight w:val="none"/>
          <w:lang w:val="en-US" w:eastAsia="zh-CN" w:bidi="ar-SA"/>
        </w:rPr>
      </w:pPr>
      <w:r>
        <w:rPr>
          <w:rFonts w:hint="eastAsia" w:ascii="宋体" w:hAnsi="Courier New" w:cs="Times New Roman"/>
          <w:b w:val="0"/>
          <w:bCs w:val="0"/>
          <w:kern w:val="2"/>
          <w:sz w:val="21"/>
          <w:highlight w:val="none"/>
          <w:lang w:val="en-US" w:eastAsia="zh-CN" w:bidi="ar-SA"/>
        </w:rPr>
        <w:t>项目</w:t>
      </w:r>
      <w:r>
        <w:rPr>
          <w:rFonts w:hint="eastAsia" w:ascii="宋体" w:hAnsi="Courier New" w:eastAsia="宋体" w:cs="Times New Roman"/>
          <w:b w:val="0"/>
          <w:bCs w:val="0"/>
          <w:kern w:val="2"/>
          <w:sz w:val="21"/>
          <w:highlight w:val="none"/>
          <w:lang w:val="en-US" w:eastAsia="zh-CN" w:bidi="ar-SA"/>
        </w:rPr>
        <w:t>联系人：</w:t>
      </w:r>
      <w:r>
        <w:rPr>
          <w:rFonts w:hint="eastAsia" w:ascii="宋体" w:hAnsi="Courier New" w:cs="Times New Roman"/>
          <w:kern w:val="2"/>
          <w:sz w:val="21"/>
          <w:highlight w:val="none"/>
          <w:lang w:val="en-US" w:eastAsia="zh-CN" w:bidi="ar-SA"/>
        </w:rPr>
        <w:t>王华宸</w:t>
      </w:r>
    </w:p>
    <w:p w14:paraId="43D8535D">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电话：</w:t>
      </w:r>
      <w:r>
        <w:rPr>
          <w:rFonts w:hint="eastAsia" w:ascii="宋体" w:hAnsi="Courier New" w:cs="Times New Roman"/>
          <w:kern w:val="2"/>
          <w:sz w:val="21"/>
          <w:highlight w:val="none"/>
          <w:lang w:val="en-US" w:eastAsia="zh-CN" w:bidi="ar-SA"/>
        </w:rPr>
        <w:t>18329153071</w:t>
      </w:r>
    </w:p>
    <w:p w14:paraId="0F35D5A2">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highlight w:val="none"/>
          <w:lang w:val="en-US" w:eastAsia="zh-CN"/>
        </w:rPr>
      </w:pPr>
      <w:r>
        <w:rPr>
          <w:rFonts w:hint="eastAsia" w:ascii="宋体" w:hAnsi="Courier New" w:eastAsia="宋体" w:cs="Times New Roman"/>
          <w:kern w:val="2"/>
          <w:sz w:val="21"/>
          <w:highlight w:val="none"/>
          <w:lang w:val="en-US" w:eastAsia="zh-CN" w:bidi="ar-SA"/>
        </w:rPr>
        <w:t>邮箱</w:t>
      </w:r>
      <w:r>
        <w:rPr>
          <w:rFonts w:hint="eastAsia"/>
          <w:highlight w:val="none"/>
          <w:lang w:val="en-US" w:eastAsia="zh-CN"/>
        </w:rPr>
        <w:t>：</w:t>
      </w:r>
      <w:r>
        <w:rPr>
          <w:rFonts w:hint="eastAsia" w:ascii="宋体" w:hAnsi="Courier New" w:cs="Times New Roman"/>
          <w:kern w:val="2"/>
          <w:sz w:val="21"/>
          <w:highlight w:val="none"/>
          <w:lang w:val="en-US" w:eastAsia="zh-CN" w:bidi="ar-SA"/>
        </w:rPr>
        <w:t>1120358033@qq.com</w:t>
      </w:r>
    </w:p>
    <w:bookmarkEnd w:id="3"/>
    <w:p w14:paraId="50DC6C7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4" w:name="_Toc47976598"/>
      <w:r>
        <w:rPr>
          <w:rFonts w:hint="eastAsia"/>
        </w:rPr>
        <w:t>合格的投标人</w:t>
      </w:r>
      <w:bookmarkEnd w:id="4"/>
    </w:p>
    <w:p w14:paraId="45B822C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1.拟投标人必须是在中华人民共和国境内注册的独立法人机构，具有独 立承担民事责任能力；注册资金不少于50万人民币(或等值其他货币);公司成立三年以上(以营业执照成立日期到开标当日满三年为准),且经营范围 满足招标人需求；并在人员、设备、资金等方面具有承担本项目的能力；</w:t>
      </w:r>
    </w:p>
    <w:p w14:paraId="184D3BB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2.拟投标人应提供三证合一的营业执照副本原件和扫描件(需盖章);</w:t>
      </w:r>
    </w:p>
    <w:p w14:paraId="7649836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3.拟投标人应提供法定代表人资格证明文件；</w:t>
      </w:r>
    </w:p>
    <w:p w14:paraId="2EBD625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4.拟投标人在工商行政管理局的《国家企业信用信息公示系统》中查询 不存在不良记录；</w:t>
      </w:r>
    </w:p>
    <w:p w14:paraId="79BCCC4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5.拟投标人不存在严重违规或被列入招标人“黑名单”的声明；</w:t>
      </w:r>
    </w:p>
    <w:p w14:paraId="303706C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6.拟投标人2022年1月1日至今经第三方审计的公司财务报表(资产 负债表、损益表、现金流量表)未显示异常。如拟投标人公司没有经审计的财务报告，可提供加盖公章的近三年财务报表，包括但不限于资产负债表、利润表、现金流表；</w:t>
      </w:r>
    </w:p>
    <w:p w14:paraId="46652DE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7.拟投标人有与本次招标内容相同或类似项目业绩，且近3年内无因服 务不当而造成重大事故；</w:t>
      </w:r>
    </w:p>
    <w:p w14:paraId="27C1DE0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8.拟投标人三年内无违法及重大违规情况；</w:t>
      </w:r>
    </w:p>
    <w:p w14:paraId="3C477E3D">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9.拟投标人须认可招标人的工作指令，包括节、假日能正常开展工作的要求；</w:t>
      </w:r>
    </w:p>
    <w:p w14:paraId="61ACFFF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10. 拟投标人最近半年纳税正常；</w:t>
      </w:r>
    </w:p>
    <w:p w14:paraId="47CC294A">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11.拟投标人信用证明材料(中国人民银行信用代码证+征信报告)未显示异常；</w:t>
      </w:r>
    </w:p>
    <w:p w14:paraId="3384868A">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12.拟投标人的直接或间接股东、法定代表人、董事、监事、高管非重汽员工及其亲属；</w:t>
      </w:r>
    </w:p>
    <w:p w14:paraId="280AC7D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lang w:eastAsia="zh-CN"/>
        </w:rPr>
      </w:pPr>
      <w:r>
        <w:rPr>
          <w:rFonts w:hint="eastAsia" w:hAnsi="Courier New" w:cs="Times New Roman"/>
          <w:highlight w:val="none"/>
          <w:lang w:eastAsia="zh-CN"/>
        </w:rPr>
        <w:t>13.本项目不接受联合体投标，拟投标人必须是最终投标单位和签订合 同单位，不得以任何理由将已中标项目以任何形式分包或转包给其他单位；</w:t>
      </w:r>
    </w:p>
    <w:p w14:paraId="2D41B21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rPr>
      </w:pPr>
      <w:r>
        <w:rPr>
          <w:rFonts w:hint="eastAsia" w:hAnsi="Courier New" w:cs="Times New Roman"/>
          <w:highlight w:val="none"/>
          <w:lang w:eastAsia="zh-CN"/>
        </w:rPr>
        <w:t>14.本项目不接受代理商参与，仅允许生产厂家直接投标。</w:t>
      </w:r>
    </w:p>
    <w:p w14:paraId="31CA8C38">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FF44D4D">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19</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w:t>
      </w:r>
    </w:p>
    <w:p w14:paraId="44BC705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14:paraId="22D0959D">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12</w:t>
      </w:r>
      <w:r>
        <w:rPr>
          <w:rFonts w:hint="eastAsia" w:eastAsia="宋体" w:cs="宋体"/>
          <w:highlight w:val="none"/>
          <w:u w:val="single"/>
        </w:rPr>
        <w:t>月</w:t>
      </w:r>
      <w:r>
        <w:rPr>
          <w:rFonts w:hint="eastAsia" w:cs="宋体"/>
          <w:highlight w:val="none"/>
          <w:u w:val="single"/>
          <w:lang w:val="en-US" w:eastAsia="zh-CN"/>
        </w:rPr>
        <w:t>25</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30D267C1">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8</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9</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文件中第四部分的“投标文件的编制资质文件”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447D8BC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r>
        <w:rPr>
          <w:rFonts w:hint="eastAsia" w:cs="宋体"/>
          <w:b/>
          <w:bCs/>
          <w:highlight w:val="none"/>
          <w:lang w:eastAsia="zh-CN"/>
        </w:rPr>
        <w:t>，</w:t>
      </w:r>
      <w:r>
        <w:rPr>
          <w:rFonts w:hint="eastAsia" w:eastAsia="宋体" w:cs="宋体"/>
          <w:b/>
          <w:bCs/>
          <w:highlight w:val="none"/>
        </w:rPr>
        <w:t>请投标人确认中国重汽e采通系统中供应商信息完整、准确，因供应商信息不全或错误导致的报名不成功，由投标人自行承担。</w:t>
      </w:r>
    </w:p>
    <w:p w14:paraId="2C8A7A75">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14:paraId="6F38B2E2">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26</w:t>
      </w:r>
      <w:r>
        <w:rPr>
          <w:rFonts w:hint="eastAsia" w:ascii="宋体" w:hAnsi="Courier New" w:eastAsia="宋体" w:cs="Times New Roman"/>
          <w:highlight w:val="none"/>
          <w:u w:val="single"/>
          <w:lang w:val="en-US" w:eastAsia="zh-CN"/>
        </w:rPr>
        <w:t>日</w:t>
      </w:r>
      <w:r>
        <w:rPr>
          <w:rFonts w:hint="default" w:ascii="宋体" w:hAnsi="Courier New" w:eastAsia="宋体" w:cs="Times New Roman"/>
          <w:highlight w:val="none"/>
          <w:u w:val="single"/>
          <w:lang w:val="en-US" w:eastAsia="zh-CN"/>
        </w:rPr>
        <w:t>12:00</w:t>
      </w:r>
      <w:r>
        <w:rPr>
          <w:rFonts w:hint="eastAsia"/>
          <w:highlight w:val="none"/>
          <w:u w:val="single"/>
          <w:lang w:val="en-US" w:eastAsia="zh-CN"/>
        </w:rPr>
        <w:t>:00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7860A805">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12月26日</w:t>
      </w:r>
      <w:r>
        <w:rPr>
          <w:rFonts w:hint="default" w:ascii="宋体" w:hAnsi="Courier New" w:eastAsia="宋体" w:cs="Times New Roman"/>
          <w:highlight w:val="none"/>
          <w:u w:val="single"/>
          <w:lang w:val="en-US" w:eastAsia="zh-CN"/>
        </w:rPr>
        <w:t>17:00</w:t>
      </w:r>
      <w:r>
        <w:rPr>
          <w:rFonts w:hint="eastAsia" w:ascii="宋体" w:hAnsi="Courier New" w:eastAsia="宋体" w:cs="Times New Roman"/>
          <w:highlight w:val="none"/>
          <w:u w:val="single"/>
          <w:lang w:val="en-US" w:eastAsia="zh-CN"/>
        </w:rPr>
        <w:t>前</w:t>
      </w:r>
      <w:r>
        <w:rPr>
          <w:rFonts w:hint="eastAsia" w:cs="Times New Roman"/>
          <w:highlight w:val="none"/>
          <w:u w:val="single"/>
          <w:lang w:val="en-US" w:eastAsia="zh-CN"/>
        </w:rPr>
        <w:t>；</w:t>
      </w:r>
    </w:p>
    <w:p w14:paraId="474343AB">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0C785EC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2"/>
        <w:keepNext w:val="0"/>
        <w:keepLines w:val="0"/>
        <w:pageBreakBefore w:val="0"/>
        <w:widowControl w:val="0"/>
        <w:numPr>
          <w:ilvl w:val="0"/>
          <w:numId w:val="1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投标文件的组成</w:t>
      </w:r>
    </w:p>
    <w:p w14:paraId="5EA04826">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lang w:val="en-US" w:eastAsia="zh-CN"/>
        </w:rPr>
        <w:t>本项目投标文件为</w:t>
      </w:r>
      <w:r>
        <w:rPr>
          <w:rFonts w:hint="eastAsia" w:ascii="Times New Roman" w:hAnsi="Times New Roman" w:cs="Times New Roman"/>
          <w:color w:val="auto"/>
          <w:lang w:val="en-US" w:eastAsia="zh-CN"/>
        </w:rPr>
        <w:t>盖章扫描</w:t>
      </w:r>
      <w:r>
        <w:rPr>
          <w:rFonts w:hint="eastAsia" w:cs="Times New Roman"/>
          <w:lang w:val="en-US" w:eastAsia="zh-CN"/>
        </w:rPr>
        <w:t>电子版投标文件。</w:t>
      </w:r>
      <w:r>
        <w:rPr>
          <w:rFonts w:hint="eastAsia"/>
          <w:lang w:val="en-US" w:eastAsia="zh-CN"/>
        </w:rPr>
        <w:t>投标人编写的投标文件由《投标文件（资质标）》、《投标文件（技术标）》(若有）、《投标文件（商务标）》（开标一览表）文件组成，共计3个文件。</w:t>
      </w:r>
    </w:p>
    <w:p w14:paraId="5D4F8B0C">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Times New Roman" w:hAnsi="Times New Roman" w:cs="Times New Roman"/>
          <w:color w:val="auto"/>
        </w:rPr>
      </w:pPr>
      <w:r>
        <w:rPr>
          <w:rFonts w:hint="eastAsia" w:ascii="黑体" w:hAnsi="黑体" w:eastAsia="黑体" w:cs="黑体"/>
          <w:b w:val="0"/>
          <w:bCs/>
          <w:sz w:val="21"/>
          <w:szCs w:val="21"/>
          <w:highlight w:val="none"/>
        </w:rPr>
        <w:t>资质文件</w:t>
      </w:r>
    </w:p>
    <w:p w14:paraId="35EF7D00">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rPr>
      </w:pPr>
      <w:r>
        <w:rPr>
          <w:rFonts w:hint="eastAsia" w:ascii="Times New Roman" w:hAnsi="Times New Roman" w:cs="Times New Roman"/>
          <w:color w:val="auto"/>
        </w:rPr>
        <w:t>营业执照副本原件</w:t>
      </w:r>
      <w:r>
        <w:rPr>
          <w:rFonts w:hint="eastAsia" w:ascii="Times New Roman" w:hAnsi="Times New Roman" w:cs="Times New Roman"/>
          <w:color w:val="auto"/>
          <w:lang w:val="en-US" w:eastAsia="zh-CN"/>
        </w:rPr>
        <w:t>或复印件</w:t>
      </w:r>
      <w:r>
        <w:rPr>
          <w:rFonts w:hint="default" w:ascii="Times New Roman" w:hAnsi="Times New Roman" w:cs="Times New Roman"/>
          <w:color w:val="auto"/>
        </w:rPr>
        <w:t>（需加盖公章）</w:t>
      </w:r>
      <w:r>
        <w:rPr>
          <w:rFonts w:hint="eastAsia" w:ascii="Times New Roman" w:hAnsi="Times New Roman" w:cs="Times New Roman"/>
          <w:color w:val="auto"/>
        </w:rPr>
        <w:t>；</w:t>
      </w:r>
    </w:p>
    <w:p w14:paraId="6D74587B">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default" w:ascii="Times New Roman" w:hAnsi="Times New Roman" w:cs="Times New Roman"/>
          <w:color w:val="auto"/>
        </w:rPr>
        <w:t>法定代表人授</w:t>
      </w:r>
      <w:r>
        <w:rPr>
          <w:rFonts w:hint="default" w:ascii="Times New Roman" w:hAnsi="Times New Roman" w:cs="Times New Roman"/>
          <w:color w:val="auto"/>
          <w:highlight w:val="none"/>
        </w:rPr>
        <w:t>权书（附件</w:t>
      </w:r>
      <w:r>
        <w:rPr>
          <w:rFonts w:hint="eastAsia" w:ascii="Times New Roman" w:hAnsi="Times New Roman" w:cs="Times New Roman"/>
          <w:color w:val="auto"/>
          <w:highlight w:val="none"/>
          <w:lang w:val="en-US" w:eastAsia="zh-CN"/>
        </w:rPr>
        <w:t>1</w:t>
      </w:r>
      <w:r>
        <w:rPr>
          <w:rFonts w:hint="default" w:ascii="Times New Roman" w:hAnsi="Times New Roman" w:cs="Times New Roman"/>
          <w:color w:val="auto"/>
          <w:highlight w:val="none"/>
        </w:rPr>
        <w:t>）；法定代表人参加投标的，提供法人身份证明文件即可；被授权人参加投标的，需提供法定代表人授权委托书（含法人身份证和被授权人身份证正反面复印件）</w:t>
      </w:r>
      <w:r>
        <w:rPr>
          <w:rFonts w:hint="eastAsia" w:ascii="Times New Roman" w:hAnsi="Times New Roman" w:cs="Times New Roman"/>
          <w:color w:val="auto"/>
          <w:highlight w:val="none"/>
          <w:lang w:eastAsia="zh-CN"/>
        </w:rPr>
        <w:t>；</w:t>
      </w:r>
    </w:p>
    <w:p w14:paraId="1CEFCCB6">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rPr>
        <w:t>经会计师事务所审计且出具无保留意见的近三年的财务审计报告，并加盖公章，包括但不限于报告页、经审计的资产负债表、利润表、现金流量表及报表附注</w:t>
      </w:r>
      <w:r>
        <w:rPr>
          <w:rFonts w:hint="eastAsia" w:ascii="Times New Roman" w:hAnsi="Times New Roman" w:cs="Times New Roman"/>
          <w:color w:val="auto"/>
          <w:highlight w:val="none"/>
          <w:lang w:eastAsia="zh-CN"/>
        </w:rPr>
        <w:t>，且未显示异常</w:t>
      </w:r>
      <w:r>
        <w:rPr>
          <w:rFonts w:hint="eastAsia" w:ascii="Times New Roman" w:hAnsi="Times New Roman" w:cs="Times New Roman"/>
          <w:color w:val="auto"/>
          <w:highlight w:val="none"/>
        </w:rPr>
        <w:t>。如投标人公司没有经审计的财务报告，可提供加盖公章的近三年财务报表，包括但不限于资产负债表、利润表、现金流量表</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rPr>
        <w:t>应提供中文版本的审计报告或财务报表</w:t>
      </w:r>
      <w:r>
        <w:rPr>
          <w:rFonts w:hint="eastAsia"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必须连续，同时填写投标人基本情况表（附件</w:t>
      </w:r>
      <w:r>
        <w:rPr>
          <w:rFonts w:hint="eastAsia" w:ascii="Times New Roman" w:hAnsi="Times New Roman" w:cs="Times New Roman"/>
          <w:color w:val="auto"/>
          <w:highlight w:val="none"/>
          <w:lang w:val="en-US" w:eastAsia="zh-CN"/>
        </w:rPr>
        <w:t>2</w:t>
      </w:r>
      <w:r>
        <w:rPr>
          <w:rFonts w:hint="default" w:ascii="Times New Roman" w:hAnsi="Times New Roman" w:cs="Times New Roman"/>
          <w:color w:val="auto"/>
          <w:highlight w:val="none"/>
          <w:lang w:val="en-US" w:eastAsia="zh-CN"/>
        </w:rPr>
        <w:t>）</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企业最近半年完税证明、信用证明材料（征信报告）；</w:t>
      </w:r>
    </w:p>
    <w:p w14:paraId="119848A3">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年度纳税信用评价信息（可从电子税务局查询截图，需加盖公章）；</w:t>
      </w:r>
    </w:p>
    <w:p w14:paraId="4E46CB10">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企业对外担保说明（写明贵单位对外有无对外担保和质押业务，需加盖公章）；</w:t>
      </w:r>
    </w:p>
    <w:p w14:paraId="7C89376D">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投标人在国家企业信用信息公示系统中无与本项目有关的行政处罚、经营异常和失信信息的声明（附投标当日系统内相关截图）</w:t>
      </w:r>
      <w:r>
        <w:rPr>
          <w:rFonts w:hint="eastAsia" w:ascii="Times New Roman" w:hAnsi="Times New Roman" w:cs="Times New Roman"/>
          <w:color w:val="auto"/>
          <w:highlight w:val="none"/>
          <w:lang w:val="en-US" w:eastAsia="zh-CN"/>
        </w:rPr>
        <w:t>；</w:t>
      </w:r>
    </w:p>
    <w:p w14:paraId="4402A5B1">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投标</w:t>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人应具有相应生产证明，若非原厂商需提供原厂商授权书（原件或加盖投标单位公章的彩色打印件）；</w:t>
      </w:r>
    </w:p>
    <w:p w14:paraId="1E42F048">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保密承诺函（附件</w:t>
      </w:r>
      <w:r>
        <w:rPr>
          <w:rFonts w:hint="eastAsia" w:ascii="Times New Roman" w:hAnsi="Times New Roman" w:cs="Times New Roman"/>
          <w:color w:val="auto"/>
          <w:highlight w:val="none"/>
          <w:lang w:val="en-US" w:eastAsia="zh-CN"/>
        </w:rPr>
        <w:t>3</w:t>
      </w:r>
      <w:r>
        <w:rPr>
          <w:rFonts w:hint="default" w:ascii="Times New Roman" w:hAnsi="Times New Roman" w:cs="Times New Roman"/>
          <w:color w:val="auto"/>
          <w:highlight w:val="none"/>
          <w:lang w:val="en-US" w:eastAsia="zh-CN"/>
        </w:rPr>
        <w:t>，需</w:t>
      </w:r>
      <w:r>
        <w:rPr>
          <w:rFonts w:hint="eastAsia" w:ascii="Times New Roman" w:hAnsi="Times New Roman" w:cs="Times New Roman"/>
          <w:color w:val="auto"/>
          <w:highlight w:val="none"/>
          <w:lang w:val="en-US" w:eastAsia="zh-CN"/>
        </w:rPr>
        <w:t>加</w:t>
      </w:r>
      <w:r>
        <w:rPr>
          <w:rFonts w:hint="default" w:ascii="Times New Roman" w:hAnsi="Times New Roman" w:cs="Times New Roman"/>
          <w:color w:val="auto"/>
          <w:highlight w:val="none"/>
          <w:lang w:val="en-US" w:eastAsia="zh-CN"/>
        </w:rPr>
        <w:t>盖章）</w:t>
      </w:r>
      <w:r>
        <w:rPr>
          <w:rFonts w:hint="eastAsia" w:ascii="Times New Roman" w:hAnsi="Times New Roman" w:cs="Times New Roman"/>
          <w:color w:val="auto"/>
          <w:highlight w:val="none"/>
          <w:lang w:val="en-US" w:eastAsia="zh-CN"/>
        </w:rPr>
        <w:t>；</w:t>
      </w:r>
    </w:p>
    <w:p w14:paraId="3D766582">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default" w:ascii="Times New Roman" w:hAnsi="Times New Roman" w:cs="Times New Roman"/>
          <w:color w:val="auto"/>
          <w:highlight w:val="none"/>
          <w:lang w:val="en-US" w:eastAsia="zh-CN"/>
        </w:rPr>
        <w:t>2022年1月1日至今，企业近三</w:t>
      </w:r>
      <w:r>
        <w:rPr>
          <w:rFonts w:hint="default" w:ascii="Times New Roman" w:hAnsi="Times New Roman" w:cs="Times New Roman"/>
          <w:color w:val="auto"/>
          <w:lang w:val="en-US" w:eastAsia="zh-CN"/>
        </w:rPr>
        <w:t>年同类项目业绩证明，须提供用户清单、采购合同复印件</w:t>
      </w:r>
      <w:r>
        <w:rPr>
          <w:rFonts w:hint="eastAsia" w:cs="Times New Roman"/>
          <w:highlight w:val="none"/>
        </w:rPr>
        <w:t>；</w:t>
      </w:r>
    </w:p>
    <w:p w14:paraId="08F8AAFD">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投标保证金缴纳凭证，同时正文描述付款账号、户名、开户行名称、开户行行号、保证金金额。</w:t>
      </w:r>
    </w:p>
    <w:p w14:paraId="0FCAA68A">
      <w:pPr>
        <w:pStyle w:val="76"/>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422" w:firstLineChars="200"/>
        <w:textAlignment w:val="auto"/>
        <w:rPr>
          <w:b/>
          <w:bCs/>
          <w:color w:val="auto"/>
        </w:rPr>
      </w:pPr>
      <w:r>
        <w:rPr>
          <w:rFonts w:hint="eastAsia"/>
          <w:b/>
          <w:bCs/>
          <w:color w:val="auto"/>
        </w:rPr>
        <w:t>对于投标人资质审核不通过的，招标人有权拒绝其投标。</w:t>
      </w:r>
    </w:p>
    <w:p w14:paraId="1B6DBABE">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lang w:val="en-US" w:eastAsia="zh-CN"/>
        </w:rPr>
      </w:pPr>
      <w:r>
        <w:rPr>
          <w:rFonts w:hint="eastAsia" w:ascii="黑体" w:hAnsi="黑体" w:eastAsia="黑体" w:cs="黑体"/>
          <w:b w:val="0"/>
          <w:bCs/>
          <w:sz w:val="21"/>
          <w:szCs w:val="21"/>
          <w:highlight w:val="none"/>
          <w:lang w:val="en-US" w:eastAsia="zh-CN"/>
        </w:rPr>
        <w:t>商务标</w:t>
      </w:r>
    </w:p>
    <w:p w14:paraId="36BEA27F">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开标一览表（附件4）</w:t>
      </w:r>
      <w:r>
        <w:rPr>
          <w:rFonts w:hint="eastAsia" w:cs="Times New Roman"/>
          <w:highlight w:val="none"/>
        </w:rPr>
        <w:t>；</w:t>
      </w:r>
    </w:p>
    <w:p w14:paraId="0167F81C">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投标函（附件</w:t>
      </w:r>
      <w:r>
        <w:rPr>
          <w:rFonts w:hint="eastAsia" w:cs="Times New Roman"/>
          <w:highlight w:val="none"/>
          <w:lang w:val="en-US" w:eastAsia="zh-CN"/>
        </w:rPr>
        <w:t>5</w:t>
      </w:r>
      <w:r>
        <w:rPr>
          <w:rFonts w:hint="eastAsia" w:cs="Times New Roman"/>
          <w:highlight w:val="none"/>
        </w:rPr>
        <w:t>）；</w:t>
      </w:r>
    </w:p>
    <w:p w14:paraId="290ED0C2">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商务条款偏离表（附件</w:t>
      </w:r>
      <w:r>
        <w:rPr>
          <w:rFonts w:hint="eastAsia" w:cs="Times New Roman"/>
          <w:highlight w:val="none"/>
          <w:lang w:val="en-US" w:eastAsia="zh-CN"/>
        </w:rPr>
        <w:t>6</w:t>
      </w:r>
      <w:r>
        <w:rPr>
          <w:rFonts w:hint="eastAsia" w:cs="Times New Roman"/>
          <w:highlight w:val="none"/>
        </w:rPr>
        <w:t>）；</w:t>
      </w:r>
    </w:p>
    <w:p w14:paraId="51A1A787">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lang w:val="en-US" w:eastAsia="zh-CN"/>
        </w:rPr>
      </w:pPr>
      <w:r>
        <w:rPr>
          <w:rFonts w:hint="eastAsia" w:cs="Times New Roman"/>
          <w:highlight w:val="none"/>
        </w:rPr>
        <w:t>投标货物分项报价表（附件</w:t>
      </w:r>
      <w:r>
        <w:rPr>
          <w:rFonts w:hint="eastAsia" w:cs="Times New Roman"/>
          <w:highlight w:val="none"/>
          <w:lang w:val="en-US" w:eastAsia="zh-CN"/>
        </w:rPr>
        <w:t>7</w:t>
      </w:r>
      <w:r>
        <w:rPr>
          <w:rFonts w:hint="eastAsia" w:cs="Times New Roman"/>
          <w:highlight w:val="none"/>
        </w:rPr>
        <w:t>）；</w:t>
      </w:r>
    </w:p>
    <w:p w14:paraId="53DECED4">
      <w:pPr>
        <w:pStyle w:val="76"/>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b w:val="0"/>
          <w:bCs w:val="0"/>
          <w:highlight w:val="none"/>
          <w:lang w:val="en-US" w:eastAsia="zh-CN"/>
        </w:rPr>
      </w:pPr>
      <w:r>
        <w:rPr>
          <w:rFonts w:hint="eastAsia" w:cs="Times New Roman"/>
          <w:b w:val="0"/>
          <w:bCs w:val="0"/>
          <w:highlight w:val="none"/>
          <w:lang w:val="en-US" w:eastAsia="zh-CN"/>
        </w:rPr>
        <w:t>商务报价注意内容：</w:t>
      </w:r>
      <w:r>
        <w:rPr>
          <w:rFonts w:hint="eastAsia" w:cs="Times New Roman"/>
          <w:b w:val="0"/>
          <w:bCs w:val="0"/>
          <w:highlight w:val="none"/>
        </w:rPr>
        <w:t>最高投标限价（招标控制价）：人民币</w:t>
      </w:r>
      <w:r>
        <w:rPr>
          <w:rFonts w:hint="eastAsia" w:cs="Times New Roman"/>
          <w:b w:val="0"/>
          <w:bCs w:val="0"/>
          <w:highlight w:val="none"/>
          <w:u w:val="single"/>
          <w:lang w:val="en-US" w:eastAsia="zh-CN"/>
        </w:rPr>
        <w:t>9.8</w:t>
      </w:r>
      <w:r>
        <w:rPr>
          <w:rFonts w:hint="eastAsia" w:cs="Times New Roman"/>
          <w:b w:val="0"/>
          <w:bCs w:val="0"/>
          <w:highlight w:val="none"/>
        </w:rPr>
        <w:t>万元（含</w:t>
      </w:r>
      <w:r>
        <w:rPr>
          <w:rFonts w:hint="eastAsia" w:cs="Times New Roman"/>
          <w:b w:val="0"/>
          <w:bCs w:val="0"/>
          <w:highlight w:val="none"/>
          <w:u w:val="single"/>
          <w:lang w:val="en-US" w:eastAsia="zh-CN"/>
        </w:rPr>
        <w:t>13</w:t>
      </w:r>
      <w:r>
        <w:rPr>
          <w:rFonts w:hint="eastAsia" w:cs="Times New Roman"/>
          <w:b w:val="0"/>
          <w:bCs w:val="0"/>
          <w:highlight w:val="none"/>
          <w:u w:val="single"/>
        </w:rPr>
        <w:t>%</w:t>
      </w:r>
      <w:r>
        <w:rPr>
          <w:rFonts w:hint="eastAsia" w:cs="Times New Roman"/>
          <w:b w:val="0"/>
          <w:bCs w:val="0"/>
          <w:highlight w:val="none"/>
        </w:rPr>
        <w:t>增值税），超过投标限价无法投标。</w:t>
      </w:r>
    </w:p>
    <w:p w14:paraId="5DF4D985">
      <w:pPr>
        <w:pStyle w:val="72"/>
        <w:keepNext w:val="0"/>
        <w:keepLines w:val="0"/>
        <w:pageBreakBefore w:val="0"/>
        <w:widowControl w:val="0"/>
        <w:numPr>
          <w:ilvl w:val="0"/>
          <w:numId w:val="1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14:paraId="2AB224DF">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14:paraId="2079F01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在中国重汽e采通平台应标成功后，进入“供应商投标”环节，投递盖章扫描版电子标书（包含资质标书、技术标书、商务标书）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w:t>
      </w:r>
      <w:r>
        <w:rPr>
          <w:rFonts w:hint="eastAsia" w:ascii="Times New Roman" w:hAnsi="Times New Roman" w:cs="Times New Roman"/>
          <w:b/>
          <w:bCs/>
          <w:color w:val="auto"/>
          <w:lang w:val="en-US" w:eastAsia="zh-CN"/>
        </w:rPr>
        <w:t>若逾期未在中国重汽e采通平台上传电子标书，即便递交了纸版投标文件，一律视为无效投标。</w:t>
      </w:r>
    </w:p>
    <w:p w14:paraId="4AAA3F9B">
      <w:pPr>
        <w:pStyle w:val="76"/>
        <w:keepNext w:val="0"/>
        <w:keepLines w:val="0"/>
        <w:pageBreakBefore w:val="0"/>
        <w:widowControl w:val="0"/>
        <w:numPr>
          <w:ilvl w:val="1"/>
          <w:numId w:val="15"/>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u w:val="single"/>
          <w:lang w:val="en-US" w:eastAsia="zh-CN"/>
        </w:rPr>
        <w:t>2025</w:t>
      </w:r>
      <w:r>
        <w:rPr>
          <w:rFonts w:hint="eastAsia"/>
          <w:highlight w:val="none"/>
          <w:u w:val="single"/>
          <w:lang w:val="en-US" w:eastAsia="zh-CN"/>
        </w:rPr>
        <w:t>年12月31日9:0</w:t>
      </w:r>
      <w:r>
        <w:rPr>
          <w:rFonts w:hint="eastAsia"/>
          <w:u w:val="single"/>
          <w:lang w:val="en-US" w:eastAsia="zh-CN"/>
        </w:rPr>
        <w:t>0:00</w:t>
      </w:r>
      <w:r>
        <w:rPr>
          <w:rFonts w:hint="default"/>
          <w:u w:val="single"/>
          <w:lang w:val="en-US" w:eastAsia="zh-CN"/>
        </w:rPr>
        <w:t>（</w:t>
      </w:r>
      <w:r>
        <w:rPr>
          <w:rFonts w:hint="default" w:ascii="宋体" w:hAnsi="Courier New" w:eastAsia="宋体" w:cs="Times New Roman"/>
          <w:highlight w:val="none"/>
          <w:u w:val="single"/>
          <w:lang w:val="en-US" w:eastAsia="zh-CN"/>
        </w:rPr>
        <w:t>北京时间）</w:t>
      </w:r>
    </w:p>
    <w:p w14:paraId="25974AA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14:paraId="021ADBC0">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7767E796">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25AC0430">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14:paraId="04CD311F">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highlight w:val="none"/>
          <w:lang w:val="en-US" w:eastAsia="zh-CN"/>
        </w:rPr>
      </w:pPr>
      <w:r>
        <w:rPr>
          <w:rFonts w:hint="eastAsia"/>
          <w:highlight w:val="none"/>
        </w:rPr>
        <w:t>投标保证金的金额：人民币</w:t>
      </w:r>
      <w:r>
        <w:rPr>
          <w:rFonts w:hint="eastAsia"/>
          <w:highlight w:val="none"/>
          <w:lang w:val="en-US" w:eastAsia="zh-CN"/>
        </w:rPr>
        <w:t>5000</w:t>
      </w:r>
      <w:r>
        <w:rPr>
          <w:rFonts w:hint="eastAsia"/>
          <w:highlight w:val="none"/>
        </w:rPr>
        <w:t>元</w:t>
      </w:r>
    </w:p>
    <w:p w14:paraId="61E0BCA2">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lang w:eastAsia="zh-CN"/>
        </w:rPr>
      </w:pPr>
      <w:r>
        <w:rPr>
          <w:rFonts w:hint="eastAsia" w:cs="Times New Roman"/>
          <w:lang w:eastAsia="zh-CN"/>
        </w:rPr>
        <w:t>名称：中国重汽集团杭州发动机有限公司</w:t>
      </w:r>
    </w:p>
    <w:p w14:paraId="4ABFC15D">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lang w:eastAsia="zh-CN"/>
        </w:rPr>
      </w:pPr>
      <w:r>
        <w:rPr>
          <w:rFonts w:hint="eastAsia" w:cs="Times New Roman"/>
          <w:lang w:eastAsia="zh-CN"/>
        </w:rPr>
        <w:t>开户银行：工行半道红支行</w:t>
      </w:r>
    </w:p>
    <w:p w14:paraId="536FB455">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lang w:eastAsia="zh-CN"/>
        </w:rPr>
      </w:pPr>
      <w:r>
        <w:rPr>
          <w:rFonts w:hint="eastAsia" w:cs="Times New Roman"/>
          <w:lang w:eastAsia="zh-CN"/>
        </w:rPr>
        <w:t>银行帐号：1202051439900007785</w:t>
      </w:r>
    </w:p>
    <w:p w14:paraId="3565EE07">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lang w:val="en-US" w:eastAsia="zh-CN"/>
        </w:rPr>
      </w:pPr>
      <w:r>
        <w:rPr>
          <w:rFonts w:hint="eastAsia" w:cs="Times New Roman"/>
          <w:lang w:eastAsia="zh-CN"/>
        </w:rPr>
        <w:t>联行号：102331005147</w:t>
      </w:r>
    </w:p>
    <w:p w14:paraId="1591D62C">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422" w:firstLineChars="200"/>
        <w:textAlignment w:val="auto"/>
        <w:rPr>
          <w:rFonts w:hint="eastAsia"/>
          <w:b/>
          <w:bCs/>
          <w:lang w:val="en-US" w:eastAsia="zh-CN"/>
        </w:rPr>
      </w:pPr>
      <w:r>
        <w:rPr>
          <w:rFonts w:hint="eastAsia"/>
          <w:b/>
          <w:bCs/>
          <w:lang w:val="en-US" w:eastAsia="zh-CN"/>
        </w:rPr>
        <w:t>转账附言：公司名称+项目名称+投标保证金。</w:t>
      </w:r>
    </w:p>
    <w:p w14:paraId="5568414C">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w:t>
      </w:r>
      <w:r>
        <w:rPr>
          <w:rFonts w:hint="eastAsia" w:cs="Times New Roman"/>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12</w:t>
      </w:r>
      <w:r>
        <w:rPr>
          <w:rFonts w:hint="eastAsia" w:ascii="宋体" w:hAnsi="宋体" w:eastAsia="宋体" w:cs="宋体"/>
          <w:b w:val="0"/>
          <w:bCs w:val="0"/>
          <w:sz w:val="21"/>
          <w:szCs w:val="21"/>
          <w:highlight w:val="none"/>
        </w:rPr>
        <w:t>月</w:t>
      </w:r>
      <w:r>
        <w:rPr>
          <w:rFonts w:hint="eastAsia" w:hAnsi="宋体" w:cs="宋体"/>
          <w:b w:val="0"/>
          <w:bCs w:val="0"/>
          <w:sz w:val="21"/>
          <w:szCs w:val="21"/>
          <w:highlight w:val="none"/>
          <w:lang w:val="en-US" w:eastAsia="zh-CN"/>
        </w:rPr>
        <w:t>31</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9</w:t>
      </w:r>
      <w:r>
        <w:rPr>
          <w:rFonts w:hint="eastAsia"/>
          <w:u w:val="none"/>
          <w:lang w:val="en-US" w:eastAsia="zh-CN"/>
        </w:rPr>
        <w:t>:00:00</w:t>
      </w:r>
      <w:r>
        <w:rPr>
          <w:rFonts w:hint="default" w:ascii="宋体" w:hAnsi="Courier New" w:eastAsia="宋体" w:cs="Times New Roman"/>
          <w:highlight w:val="none"/>
          <w:u w:val="none"/>
          <w:lang w:val="en-US" w:eastAsia="zh-CN"/>
        </w:rPr>
        <w:t>（北京时间）</w:t>
      </w:r>
    </w:p>
    <w:p w14:paraId="5306DE77">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，投标保证金将于招标人内部完成中标人评审并确认最终中标人后在</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内原路返还（无息）。</w:t>
      </w:r>
    </w:p>
    <w:p w14:paraId="02113B20">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14:paraId="69D68B6B">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ascii="宋体" w:hAnsi="宋体" w:eastAsia="宋体" w:cs="宋体"/>
          <w:b w:val="0"/>
          <w:bCs w:val="0"/>
          <w:szCs w:val="21"/>
          <w:highlight w:val="none"/>
        </w:rPr>
        <w:t>供</w:t>
      </w:r>
      <w:r>
        <w:rPr>
          <w:rFonts w:hint="eastAsia"/>
        </w:rPr>
        <w:t>应商在提交响应文件截止时间后撤回响应文件的；</w:t>
      </w:r>
    </w:p>
    <w:p w14:paraId="56CEC55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供应商在响应文件中提供虚假材料的；</w:t>
      </w:r>
    </w:p>
    <w:p w14:paraId="14DF0C7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除因不可抗力或谈判文件、询价通知书认可的情形以外，成交供应商不与采购人签订合同的；</w:t>
      </w:r>
    </w:p>
    <w:p w14:paraId="1D9AD29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供应商与采购人、其他供应商或者采购代理机构恶意串通、围标、陪标的；</w:t>
      </w:r>
    </w:p>
    <w:p w14:paraId="1211AC71">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供应商有违约违规行为或被投诉、举报的，在调查处理期间，保证金暂不退还，待调查处理结束后按有关规定处理。</w:t>
      </w:r>
    </w:p>
    <w:p w14:paraId="1C7FF7D7">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截至开标前3天，投标人无正当理由、未以书面形式向招标人递交说明而在投标截止日不来投标的。</w:t>
      </w:r>
    </w:p>
    <w:p w14:paraId="7A3035DA">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自中标通知书发出之日起30日内，中标人无正当理由投标人无正当签订合同的；</w:t>
      </w:r>
    </w:p>
    <w:p w14:paraId="271EC8CF">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仿宋_GB2312" w:cs="宋体"/>
          <w:b w:val="0"/>
          <w:bCs w:val="0"/>
          <w:szCs w:val="24"/>
          <w:highlight w:val="none"/>
          <w:lang w:val="en-US" w:eastAsia="zh-CN"/>
        </w:rPr>
      </w:pPr>
      <w:r>
        <w:rPr>
          <w:rFonts w:hint="eastAsia"/>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p>
    <w:bookmarkEnd w:id="5"/>
    <w:p w14:paraId="368B699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开评标</w:t>
      </w:r>
    </w:p>
    <w:p w14:paraId="6D5294CB">
      <w:pPr>
        <w:pStyle w:val="72"/>
        <w:keepNext w:val="0"/>
        <w:keepLines w:val="0"/>
        <w:pageBreakBefore w:val="0"/>
        <w:widowControl w:val="0"/>
        <w:numPr>
          <w:ilvl w:val="0"/>
          <w:numId w:val="21"/>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14:paraId="4FACE4AA">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hAnsi="宋体" w:cs="宋体"/>
          <w:b w:val="0"/>
          <w:bCs w:val="0"/>
          <w:sz w:val="21"/>
          <w:szCs w:val="21"/>
          <w:highlight w:val="none"/>
          <w:lang w:val="en-US" w:eastAsia="zh-CN"/>
        </w:rPr>
        <w:t>2025年12</w:t>
      </w:r>
      <w:r>
        <w:rPr>
          <w:rFonts w:hint="eastAsia" w:ascii="宋体" w:hAnsi="宋体" w:eastAsia="宋体" w:cs="宋体"/>
          <w:b w:val="0"/>
          <w:bCs w:val="0"/>
          <w:sz w:val="21"/>
          <w:szCs w:val="21"/>
          <w:highlight w:val="none"/>
          <w:lang w:val="en-US" w:eastAsia="zh-CN"/>
        </w:rPr>
        <w:t>月</w:t>
      </w:r>
      <w:r>
        <w:rPr>
          <w:rFonts w:hint="eastAsia" w:hAnsi="宋体" w:cs="宋体"/>
          <w:b w:val="0"/>
          <w:bCs w:val="0"/>
          <w:sz w:val="21"/>
          <w:szCs w:val="21"/>
          <w:highlight w:val="none"/>
          <w:lang w:val="en-US" w:eastAsia="zh-CN"/>
        </w:rPr>
        <w:t>31</w:t>
      </w:r>
      <w:r>
        <w:rPr>
          <w:rFonts w:hint="eastAsia" w:ascii="宋体" w:hAnsi="宋体" w:eastAsia="宋体" w:cs="宋体"/>
          <w:b w:val="0"/>
          <w:bCs w:val="0"/>
          <w:sz w:val="21"/>
          <w:szCs w:val="21"/>
          <w:highlight w:val="none"/>
          <w:lang w:val="en-US" w:eastAsia="zh-CN"/>
        </w:rPr>
        <w:t>日</w:t>
      </w:r>
      <w:r>
        <w:rPr>
          <w:rFonts w:hint="default" w:ascii="宋体" w:hAnsi="宋体" w:eastAsia="宋体" w:cs="宋体"/>
          <w:b w:val="0"/>
          <w:bCs w:val="0"/>
          <w:sz w:val="21"/>
          <w:szCs w:val="21"/>
          <w:highlight w:val="none"/>
          <w:lang w:val="en-US" w:eastAsia="zh-CN"/>
        </w:rPr>
        <w:t>9:00:00（北京时间）</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14:paraId="72FF61DD">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w:t>
      </w:r>
      <w:r>
        <w:rPr>
          <w:rFonts w:hint="eastAsia" w:cs="Times New Roman"/>
          <w:kern w:val="2"/>
          <w:sz w:val="21"/>
          <w:lang w:val="en-US" w:eastAsia="zh-CN" w:bidi="ar-SA"/>
        </w:rPr>
        <w:t>钉钉会议</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14:paraId="4ECFB5AE">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w:t>
      </w:r>
    </w:p>
    <w:p w14:paraId="3EF8D0F8">
      <w:pPr>
        <w:pStyle w:val="75"/>
        <w:keepNext w:val="0"/>
        <w:keepLines w:val="0"/>
        <w:pageBreakBefore w:val="0"/>
        <w:widowControl w:val="0"/>
        <w:numPr>
          <w:ilvl w:val="0"/>
          <w:numId w:val="23"/>
        </w:numPr>
        <w:kinsoku/>
        <w:wordWrap/>
        <w:overflowPunct/>
        <w:topLinePunct w:val="0"/>
        <w:autoSpaceDE/>
        <w:autoSpaceDN/>
        <w:bidi w:val="0"/>
        <w:adjustRightInd/>
        <w:snapToGrid/>
        <w:ind w:left="420" w:leftChars="0" w:hanging="420" w:firstLineChars="0"/>
        <w:textAlignment w:val="auto"/>
        <w:outlineLvl w:val="9"/>
        <w:rPr>
          <w:rFonts w:hint="eastAsia" w:ascii="宋体" w:hAnsi="宋体" w:eastAsia="宋体" w:cs="宋体"/>
          <w:color w:val="000000"/>
          <w:sz w:val="21"/>
          <w:szCs w:val="21"/>
          <w:highlight w:val="none"/>
        </w:rPr>
      </w:pPr>
      <w:r>
        <w:rPr>
          <w:rFonts w:hint="eastAsia" w:ascii="宋体" w:hAnsi="Courier New" w:eastAsia="宋体" w:cs="Times New Roman"/>
          <w:b/>
          <w:bCs w:val="0"/>
          <w:color w:val="FF0000"/>
          <w:kern w:val="2"/>
          <w:sz w:val="21"/>
          <w:highlight w:val="none"/>
          <w:u w:val="single"/>
          <w:lang w:val="en-US" w:eastAsia="zh-CN" w:bidi="ar-SA"/>
        </w:rPr>
        <w:t>线上</w:t>
      </w:r>
      <w:r>
        <w:rPr>
          <w:rFonts w:hint="eastAsia" w:cs="Times New Roman"/>
          <w:b/>
          <w:bCs w:val="0"/>
          <w:color w:val="FF0000"/>
          <w:highlight w:val="none"/>
          <w:u w:val="single"/>
          <w:lang w:val="en-US" w:eastAsia="zh-CN"/>
        </w:rPr>
        <w:t>招标</w:t>
      </w:r>
      <w:r>
        <w:rPr>
          <w:rFonts w:hint="eastAsia" w:ascii="宋体" w:hAnsi="Courier New" w:eastAsia="宋体" w:cs="Times New Roman"/>
          <w:b/>
          <w:bCs w:val="0"/>
          <w:color w:val="FF0000"/>
          <w:kern w:val="2"/>
          <w:sz w:val="21"/>
          <w:highlight w:val="none"/>
          <w:u w:val="single"/>
          <w:lang w:val="en-US" w:eastAsia="zh-CN" w:bidi="ar-SA"/>
        </w:rPr>
        <w:t>：</w:t>
      </w:r>
      <w:r>
        <w:rPr>
          <w:rFonts w:hint="eastAsia" w:ascii="宋体" w:hAnsi="宋体" w:eastAsia="宋体" w:cs="宋体"/>
          <w:color w:val="000000"/>
          <w:sz w:val="21"/>
          <w:szCs w:val="21"/>
          <w:highlight w:val="none"/>
          <w:u w:val="singl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u w:val="single"/>
        </w:rPr>
        <w:t>招标人创建视频链接</w:t>
      </w:r>
      <w:r>
        <w:rPr>
          <w:rFonts w:hint="eastAsia" w:ascii="宋体" w:hAnsi="宋体" w:eastAsia="宋体" w:cs="宋体"/>
          <w:color w:val="000000"/>
          <w:sz w:val="21"/>
          <w:szCs w:val="21"/>
          <w:highlight w:val="none"/>
          <w:u w:val="single"/>
          <w:lang w:eastAsia="zh-CN"/>
        </w:rPr>
        <w:t>，</w:t>
      </w:r>
      <w:r>
        <w:rPr>
          <w:rFonts w:hint="eastAsia" w:ascii="宋体" w:hAnsi="宋体" w:eastAsia="宋体" w:cs="宋体"/>
          <w:color w:val="000000"/>
          <w:sz w:val="21"/>
          <w:szCs w:val="21"/>
          <w:highlight w:val="none"/>
          <w:u w:val="single"/>
        </w:rPr>
        <w:t>并在报名结束后统一通知。</w:t>
      </w:r>
    </w:p>
    <w:p w14:paraId="59F17765">
      <w:pPr>
        <w:pStyle w:val="72"/>
        <w:keepNext w:val="0"/>
        <w:keepLines w:val="0"/>
        <w:pageBreakBefore w:val="0"/>
        <w:widowControl w:val="0"/>
        <w:numPr>
          <w:ilvl w:val="0"/>
          <w:numId w:val="21"/>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14:paraId="649C28C4">
      <w:pPr>
        <w:pStyle w:val="72"/>
        <w:keepNext w:val="0"/>
        <w:keepLines w:val="0"/>
        <w:pageBreakBefore w:val="0"/>
        <w:widowControl w:val="0"/>
        <w:numPr>
          <w:ilvl w:val="1"/>
          <w:numId w:val="21"/>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14:paraId="52AB1644">
      <w:pPr>
        <w:pStyle w:val="75"/>
        <w:keepNext w:val="0"/>
        <w:keepLines w:val="0"/>
        <w:pageBreakBefore w:val="0"/>
        <w:widowControl w:val="0"/>
        <w:numPr>
          <w:ilvl w:val="0"/>
          <w:numId w:val="23"/>
        </w:numPr>
        <w:kinsoku/>
        <w:wordWrap/>
        <w:overflowPunct/>
        <w:topLinePunct w:val="0"/>
        <w:autoSpaceDE/>
        <w:autoSpaceDN/>
        <w:bidi w:val="0"/>
        <w:adjustRightInd/>
        <w:snapToGrid/>
        <w:ind w:left="420" w:leftChars="0" w:hanging="420" w:firstLineChars="0"/>
        <w:textAlignment w:val="auto"/>
        <w:outlineLvl w:val="9"/>
        <w:rPr>
          <w:rFonts w:hint="eastAsia" w:cs="Times New Roman"/>
          <w:b/>
          <w:bCs w:val="0"/>
          <w:color w:val="FF0000"/>
          <w:highlight w:val="none"/>
          <w:u w:val="single"/>
          <w:lang w:val="en-US" w:eastAsia="zh-CN"/>
        </w:rPr>
      </w:pPr>
      <w:r>
        <w:rPr>
          <w:rFonts w:hint="eastAsia" w:cs="Times New Roman"/>
          <w:b/>
          <w:bCs w:val="0"/>
          <w:color w:val="FF0000"/>
          <w:highlight w:val="none"/>
          <w:u w:val="single"/>
          <w:lang w:val="en-US" w:eastAsia="zh-CN"/>
        </w:rPr>
        <w:t>合理最低价无技术</w:t>
      </w:r>
    </w:p>
    <w:p w14:paraId="07DFEB4C">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r>
        <w:rPr>
          <w:rFonts w:hint="eastAsia" w:cs="Times New Roman"/>
          <w:b w:val="0"/>
          <w:bCs/>
          <w:highlight w:val="none"/>
          <w:u w:val="single"/>
          <w:lang w:val="en-US" w:eastAsia="zh-CN"/>
        </w:rPr>
        <w:t>本次招标采用合理最低价法进行评标。本着公平、公正、公开的原则，选择合理最低价确定中标人，对未中标单位不做任何解释。</w:t>
      </w:r>
    </w:p>
    <w:p w14:paraId="0B2A8F6D">
      <w:pPr>
        <w:pStyle w:val="72"/>
        <w:keepNext w:val="0"/>
        <w:keepLines w:val="0"/>
        <w:pageBreakBefore w:val="0"/>
        <w:widowControl w:val="0"/>
        <w:numPr>
          <w:ilvl w:val="1"/>
          <w:numId w:val="21"/>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评标流程</w:t>
      </w:r>
    </w:p>
    <w:p w14:paraId="08C47440">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w:t>
      </w:r>
      <w:r>
        <w:rPr>
          <w:rFonts w:hint="eastAsia" w:ascii="宋体" w:hAnsi="宋体" w:eastAsia="宋体" w:cs="宋体"/>
          <w:b w:val="0"/>
          <w:bCs/>
          <w:color w:val="000000"/>
          <w:sz w:val="21"/>
          <w:szCs w:val="21"/>
          <w:highlight w:val="none"/>
          <w:lang w:val="en-US" w:eastAsia="zh-CN"/>
        </w:rPr>
        <w:t>招标</w:t>
      </w:r>
      <w:r>
        <w:rPr>
          <w:rFonts w:hint="eastAsia" w:ascii="宋体" w:hAnsi="宋体" w:cs="宋体"/>
          <w:b w:val="0"/>
          <w:bCs/>
          <w:color w:val="000000"/>
          <w:sz w:val="21"/>
          <w:szCs w:val="21"/>
          <w:highlight w:val="none"/>
          <w:lang w:val="en-US" w:eastAsia="zh-CN"/>
        </w:rPr>
        <w:t>文件</w:t>
      </w:r>
      <w:r>
        <w:rPr>
          <w:rFonts w:hint="eastAsia" w:ascii="宋体" w:hAnsi="宋体" w:eastAsia="宋体" w:cs="宋体"/>
          <w:b w:val="0"/>
          <w:bCs/>
          <w:color w:val="000000"/>
          <w:sz w:val="21"/>
          <w:szCs w:val="21"/>
          <w:highlight w:val="none"/>
          <w:lang w:val="en-US" w:eastAsia="zh-CN"/>
        </w:rPr>
        <w:t>中第</w:t>
      </w:r>
      <w:r>
        <w:rPr>
          <w:rFonts w:hint="eastAsia" w:ascii="宋体" w:hAnsi="宋体" w:cs="宋体"/>
          <w:b w:val="0"/>
          <w:bCs/>
          <w:color w:val="000000"/>
          <w:sz w:val="21"/>
          <w:szCs w:val="21"/>
          <w:highlight w:val="none"/>
          <w:lang w:val="en-US" w:eastAsia="zh-CN"/>
        </w:rPr>
        <w:t>四</w:t>
      </w:r>
      <w:r>
        <w:rPr>
          <w:rFonts w:hint="eastAsia" w:ascii="宋体" w:hAnsi="宋体" w:eastAsia="宋体" w:cs="宋体"/>
          <w:b w:val="0"/>
          <w:bCs/>
          <w:color w:val="000000"/>
          <w:sz w:val="21"/>
          <w:szCs w:val="21"/>
          <w:highlight w:val="none"/>
          <w:lang w:val="en-US" w:eastAsia="zh-CN"/>
        </w:rPr>
        <w:t>部分的“应标文件的编制”编制</w:t>
      </w:r>
      <w:r>
        <w:rPr>
          <w:rFonts w:hint="eastAsia" w:ascii="宋体" w:hAnsi="宋体" w:eastAsia="宋体" w:cs="宋体"/>
          <w:b w:val="0"/>
          <w:bCs/>
          <w:color w:val="000000"/>
          <w:sz w:val="21"/>
          <w:szCs w:val="21"/>
          <w:highlight w:val="none"/>
        </w:rPr>
        <w:t>资料，上传完毕后，等待审核；</w:t>
      </w:r>
    </w:p>
    <w:p w14:paraId="3925B8AD">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w:t>
      </w:r>
      <w:r>
        <w:rPr>
          <w:rFonts w:hint="eastAsia" w:ascii="宋体" w:hAnsi="宋体" w:cs="宋体"/>
          <w:b w:val="0"/>
          <w:bCs/>
          <w:color w:val="000000"/>
          <w:sz w:val="21"/>
          <w:szCs w:val="21"/>
          <w:highlight w:val="none"/>
          <w:lang w:eastAsia="zh-CN"/>
        </w:rPr>
        <w:t>（</w:t>
      </w:r>
      <w:r>
        <w:rPr>
          <w:rFonts w:hint="eastAsia" w:ascii="宋体" w:hAnsi="宋体" w:cs="宋体"/>
          <w:b w:val="0"/>
          <w:bCs/>
          <w:color w:val="000000"/>
          <w:sz w:val="21"/>
          <w:szCs w:val="21"/>
          <w:highlight w:val="none"/>
          <w:lang w:val="en-US" w:eastAsia="zh-CN"/>
        </w:rPr>
        <w:t>附件8</w:t>
      </w:r>
      <w:r>
        <w:rPr>
          <w:rFonts w:hint="eastAsia" w:ascii="宋体" w:hAnsi="宋体" w:cs="宋体"/>
          <w:b w:val="0"/>
          <w:bCs/>
          <w:color w:val="000000"/>
          <w:sz w:val="21"/>
          <w:szCs w:val="21"/>
          <w:highlight w:val="none"/>
          <w:lang w:eastAsia="zh-CN"/>
        </w:rPr>
        <w:t>）</w:t>
      </w:r>
      <w:r>
        <w:rPr>
          <w:rFonts w:hint="eastAsia" w:ascii="宋体" w:hAnsi="宋体" w:eastAsia="宋体" w:cs="宋体"/>
          <w:b w:val="0"/>
          <w:bCs/>
          <w:color w:val="000000"/>
          <w:sz w:val="21"/>
          <w:szCs w:val="21"/>
          <w:highlight w:val="none"/>
        </w:rPr>
        <w:t>”，在重汽e采通平台投递电子标书（包含资质标、技术标、商务标）；没有通过应标资质审查的单位不能进入投标环节；</w:t>
      </w:r>
    </w:p>
    <w:p w14:paraId="3B34C86F">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w:t>
      </w:r>
      <w:r>
        <w:rPr>
          <w:rFonts w:hint="eastAsia" w:ascii="宋体" w:hAnsi="宋体" w:cs="宋体"/>
          <w:b w:val="0"/>
          <w:bCs/>
          <w:color w:val="000000"/>
          <w:sz w:val="21"/>
          <w:szCs w:val="21"/>
          <w:highlight w:val="none"/>
          <w:lang w:val="en-US" w:eastAsia="zh-CN"/>
        </w:rPr>
        <w:t>相</w:t>
      </w:r>
      <w:r>
        <w:rPr>
          <w:rFonts w:hint="eastAsia" w:ascii="宋体" w:hAnsi="宋体" w:eastAsia="宋体" w:cs="宋体"/>
          <w:b w:val="0"/>
          <w:bCs/>
          <w:color w:val="000000"/>
          <w:sz w:val="21"/>
          <w:szCs w:val="21"/>
          <w:highlight w:val="none"/>
        </w:rPr>
        <w:t>应确认→价格澄清→商务标评审；评审期间产生的商务价格澄清均由投标人在重汽e采通平台限时内完成提交；</w:t>
      </w:r>
    </w:p>
    <w:p w14:paraId="148C0E04">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注意：所有参与现场投标的投标人，需要自带笔记本电脑在</w:t>
      </w:r>
      <w:r>
        <w:rPr>
          <w:rFonts w:hint="eastAsia"/>
          <w:lang w:eastAsia="zh-CN"/>
        </w:rPr>
        <w:t>“</w:t>
      </w:r>
      <w:r>
        <w:rPr>
          <w:rFonts w:hint="eastAsia"/>
        </w:rPr>
        <w:t>重汽e采通</w:t>
      </w:r>
      <w:r>
        <w:rPr>
          <w:rFonts w:hint="eastAsia"/>
          <w:lang w:eastAsia="zh-CN"/>
        </w:rPr>
        <w:t>”</w:t>
      </w:r>
      <w:r>
        <w:rPr>
          <w:rFonts w:hint="eastAsia"/>
        </w:rPr>
        <w:t>进行自主投标和提交澄清函；投标和提交澄清函均有时间限制，超时未提交的按无效处理。</w:t>
      </w:r>
    </w:p>
    <w:p w14:paraId="20BA3AE6">
      <w:pPr>
        <w:pStyle w:val="72"/>
        <w:keepNext w:val="0"/>
        <w:keepLines w:val="0"/>
        <w:pageBreakBefore w:val="0"/>
        <w:widowControl w:val="0"/>
        <w:numPr>
          <w:ilvl w:val="1"/>
          <w:numId w:val="21"/>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评分标准</w:t>
      </w:r>
      <w:r>
        <w:rPr>
          <w:rFonts w:hint="eastAsia" w:hAnsi="黑体" w:cs="黑体"/>
          <w:b w:val="0"/>
          <w:bCs w:val="0"/>
          <w:sz w:val="21"/>
          <w:szCs w:val="21"/>
          <w:highlight w:val="none"/>
          <w:lang w:val="en-US" w:eastAsia="zh-CN"/>
        </w:rPr>
        <w:t xml:space="preserve"> </w:t>
      </w:r>
    </w:p>
    <w:p w14:paraId="08D5EEAF">
      <w:pPr>
        <w:pStyle w:val="75"/>
        <w:keepNext w:val="0"/>
        <w:keepLines w:val="0"/>
        <w:pageBreakBefore w:val="0"/>
        <w:widowControl w:val="0"/>
        <w:numPr>
          <w:ilvl w:val="0"/>
          <w:numId w:val="23"/>
        </w:numPr>
        <w:kinsoku/>
        <w:wordWrap/>
        <w:overflowPunct/>
        <w:topLinePunct w:val="0"/>
        <w:autoSpaceDE/>
        <w:autoSpaceDN/>
        <w:bidi w:val="0"/>
        <w:adjustRightInd/>
        <w:snapToGrid/>
        <w:ind w:left="420" w:leftChars="0" w:hanging="420" w:firstLineChars="0"/>
        <w:textAlignment w:val="auto"/>
        <w:outlineLvl w:val="9"/>
        <w:rPr>
          <w:rFonts w:hint="eastAsia" w:cs="Times New Roman"/>
          <w:b/>
          <w:bCs w:val="0"/>
          <w:color w:val="FF0000"/>
          <w:highlight w:val="none"/>
          <w:lang w:val="en-US" w:eastAsia="zh-CN"/>
        </w:rPr>
      </w:pPr>
      <w:r>
        <w:rPr>
          <w:rFonts w:hint="eastAsia" w:cs="Times New Roman"/>
          <w:b/>
          <w:bCs w:val="0"/>
          <w:color w:val="FF0000"/>
          <w:highlight w:val="none"/>
          <w:u w:val="single"/>
          <w:lang w:val="en-US" w:eastAsia="zh-CN"/>
        </w:rPr>
        <w:t>合理最低价无技术标</w:t>
      </w:r>
    </w:p>
    <w:p w14:paraId="3600D9D4">
      <w:pPr>
        <w:pStyle w:val="76"/>
        <w:keepNext w:val="0"/>
        <w:keepLines w:val="0"/>
        <w:pageBreakBefore w:val="0"/>
        <w:widowControl w:val="0"/>
        <w:numPr>
          <w:ilvl w:val="2"/>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u w:val="single"/>
          <w:lang w:val="en-US" w:eastAsia="zh-CN"/>
        </w:rPr>
      </w:pPr>
      <w:r>
        <w:rPr>
          <w:rFonts w:hint="eastAsia" w:cs="Times New Roman"/>
          <w:u w:val="single"/>
          <w:lang w:val="en-US" w:eastAsia="zh-CN"/>
        </w:rPr>
        <w:t>通过初审者为有效投标。</w:t>
      </w:r>
    </w:p>
    <w:p w14:paraId="0662E4D4">
      <w:pPr>
        <w:pStyle w:val="76"/>
        <w:keepNext w:val="0"/>
        <w:keepLines w:val="0"/>
        <w:pageBreakBefore w:val="0"/>
        <w:widowControl w:val="0"/>
        <w:numPr>
          <w:ilvl w:val="2"/>
          <w:numId w:val="21"/>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u w:val="single"/>
          <w:lang w:val="en-US" w:eastAsia="zh-CN"/>
        </w:rPr>
      </w:pPr>
      <w:r>
        <w:rPr>
          <w:rFonts w:hint="eastAsia" w:cs="Times New Roman"/>
          <w:u w:val="single"/>
          <w:lang w:val="en-US" w:eastAsia="zh-CN"/>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7C0A112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cs="Times New Roman"/>
          <w:lang w:val="en-US" w:eastAsia="zh-CN"/>
        </w:rPr>
        <w:t>定标</w:t>
      </w:r>
    </w:p>
    <w:p w14:paraId="6B705137">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w:t>
      </w:r>
      <w:r>
        <w:rPr>
          <w:rFonts w:hint="eastAsia"/>
          <w:highlight w:val="none"/>
        </w:rPr>
        <w:t>只产生</w:t>
      </w:r>
      <w:r>
        <w:rPr>
          <w:rFonts w:hint="eastAsia"/>
          <w:highlight w:val="none"/>
          <w:u w:val="single"/>
          <w:lang w:val="en-US" w:eastAsia="zh-CN"/>
        </w:rPr>
        <w:t>1</w:t>
      </w:r>
      <w:r>
        <w:rPr>
          <w:rFonts w:hint="eastAsia"/>
          <w:highlight w:val="none"/>
        </w:rPr>
        <w:t>个</w:t>
      </w:r>
      <w:r>
        <w:rPr>
          <w:rFonts w:hint="eastAsia"/>
        </w:rPr>
        <w:t>中标人。中标人签订合同前须进行最终审查。最终审查的对象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14:paraId="434A226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废标及终止招标</w:t>
      </w:r>
    </w:p>
    <w:p w14:paraId="0C3179D2">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投标人提供的有关资格、资质证明文件不合格、不真实或提供虚假投标材料；</w:t>
      </w:r>
    </w:p>
    <w:p w14:paraId="6FDED8F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投标人在报价有效期内撤回投标；</w:t>
      </w:r>
    </w:p>
    <w:p w14:paraId="3376C2B4">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lang w:eastAsia="zh-CN"/>
        </w:rPr>
      </w:pPr>
      <w:r>
        <w:rPr>
          <w:rFonts w:hint="eastAsia"/>
        </w:rPr>
        <w:t>在整个评标过程中，投标人有企图影响评标结果公正性的任何活动；</w:t>
      </w:r>
    </w:p>
    <w:p w14:paraId="43958B1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投标人以任何方式诋毁其他投标人；</w:t>
      </w:r>
    </w:p>
    <w:p w14:paraId="4B7A3D41">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投标人串通投标；</w:t>
      </w:r>
    </w:p>
    <w:p w14:paraId="4AFE6A78">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投标人被举报、检举，并经招标人查实无误的；</w:t>
      </w:r>
    </w:p>
    <w:p w14:paraId="34970088">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以他人名义投标或者以其他方式弄虚作假，骗取中标的；</w:t>
      </w:r>
    </w:p>
    <w:p w14:paraId="37A45F95">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投标人负责人为同一人或者存在控股、管理关系的不同单位；</w:t>
      </w:r>
    </w:p>
    <w:p w14:paraId="6BBD4266">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有效投标不足三家；</w:t>
      </w:r>
    </w:p>
    <w:p w14:paraId="1D2B4C1A">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不同投标人的投标文件异常一致或者投标报价呈规律性差异的；</w:t>
      </w:r>
    </w:p>
    <w:p w14:paraId="6C84FB5F">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投标人报价均超过</w:t>
      </w:r>
      <w:r>
        <w:rPr>
          <w:rFonts w:hint="eastAsia"/>
          <w:lang w:val="en-US" w:eastAsia="zh-CN"/>
        </w:rPr>
        <w:t>最高限价</w:t>
      </w:r>
      <w:r>
        <w:rPr>
          <w:rFonts w:hint="eastAsia"/>
        </w:rPr>
        <w:t>的；</w:t>
      </w:r>
    </w:p>
    <w:p w14:paraId="627A4FDE">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未按要求填报商务报价资料，对招标开展造成较大影响；</w:t>
      </w:r>
    </w:p>
    <w:p w14:paraId="720979D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未按照招标人规定的时间内在中国重汽e采通完成投标的；</w:t>
      </w:r>
    </w:p>
    <w:p w14:paraId="2A852CD1">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法律、法规规定的其他情况。</w:t>
      </w:r>
    </w:p>
    <w:p w14:paraId="215E3D0C">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14:paraId="6BC017B6">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14:paraId="1872B765">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6" w:name="OLE_LINK25"/>
      <w:bookmarkStart w:id="7" w:name="OLE_LINK29"/>
      <w:bookmarkStart w:id="8" w:name="OLE_LINK28"/>
      <w:bookmarkStart w:id="9" w:name="OLE_LINK27"/>
      <w:bookmarkStart w:id="10" w:name="OLE_LINK26"/>
      <w:r>
        <w:rPr>
          <w:rFonts w:hint="eastAsia" w:ascii="宋体" w:hAnsi="宋体" w:eastAsia="宋体" w:cs="宋体"/>
          <w:sz w:val="21"/>
          <w:szCs w:val="21"/>
          <w:highlight w:val="none"/>
        </w:rPr>
        <w:t>；</w:t>
      </w:r>
      <w:bookmarkEnd w:id="6"/>
      <w:bookmarkEnd w:id="7"/>
      <w:bookmarkEnd w:id="8"/>
      <w:bookmarkEnd w:id="9"/>
      <w:bookmarkEnd w:id="10"/>
    </w:p>
    <w:p w14:paraId="5CD1D199">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14:paraId="24E6827E">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hAnsi="Courier New" w:cs="Times New Roman"/>
          <w:highlight w:val="none"/>
          <w:lang w:val="en-US" w:eastAsia="zh-CN"/>
        </w:rPr>
        <w:t>合同</w:t>
      </w:r>
      <w:r>
        <w:rPr>
          <w:rFonts w:hint="eastAsia"/>
          <w:lang w:val="en-US" w:eastAsia="zh-CN"/>
        </w:rPr>
        <w:t>签订</w:t>
      </w:r>
    </w:p>
    <w:p w14:paraId="38A4E3E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招标人根据评标工作小组的评标结果确定中标人，在重汽e采通平台公布中标结果，并发送中标通知。</w:t>
      </w:r>
    </w:p>
    <w:p w14:paraId="01A8757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中标人应该在中标通知书规定的时间、地点与招标人签订采购合同，否则按照开标后撤回投标处理。</w:t>
      </w:r>
    </w:p>
    <w:p w14:paraId="05680D5A">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b w:val="0"/>
          <w:bCs w:val="0"/>
          <w:sz w:val="21"/>
          <w:szCs w:val="21"/>
        </w:rPr>
      </w:pPr>
      <w:r>
        <w:rPr>
          <w:rFonts w:hint="eastAsia" w:ascii="宋体" w:hAnsi="宋体" w:cs="宋体"/>
          <w:b w:val="0"/>
          <w:bCs w:val="0"/>
          <w:color w:val="000000"/>
          <w:sz w:val="21"/>
          <w:szCs w:val="21"/>
        </w:rPr>
        <w:t>中标人应当按照合同约定的履约责任，在保证质量的前提下完成中标项目，不得将中标项目转包或分包给他人，否则视为违约，招标人有权解除合同。</w:t>
      </w:r>
    </w:p>
    <w:p w14:paraId="68DD9DBB">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rPr>
        <w:t>中标人由于履行义务的能力或信用有严重缺陷，招标人有权取消其中标资格，招标人将从中标候选单位中依序重新确定中标人，或重新组织招标</w:t>
      </w:r>
      <w:r>
        <w:rPr>
          <w:rFonts w:hint="eastAsia" w:ascii="宋体" w:hAnsi="宋体" w:cs="宋体"/>
          <w:b w:val="0"/>
          <w:bCs/>
          <w:sz w:val="21"/>
          <w:szCs w:val="21"/>
          <w:lang w:eastAsia="zh-CN"/>
        </w:rPr>
        <w:t>。</w:t>
      </w:r>
    </w:p>
    <w:p w14:paraId="5591E191">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lang w:eastAsia="zh-CN"/>
        </w:rPr>
        <w:t>招标人有权指定招标人的关联单位作为合同签订人，与中标人签署相关合同，且具体权利义务以中标人与招标人的关联公司最终签署的合同为准</w:t>
      </w:r>
      <w:r>
        <w:rPr>
          <w:rFonts w:hint="eastAsia" w:ascii="宋体" w:hAnsi="宋体" w:cs="宋体"/>
          <w:b w:val="0"/>
          <w:bCs/>
          <w:sz w:val="21"/>
          <w:szCs w:val="21"/>
        </w:rPr>
        <w:t>；</w:t>
      </w:r>
    </w:p>
    <w:p w14:paraId="4B1A7D9C">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rPr>
        <w:t>合同以双方最终签署的版本为准。</w:t>
      </w:r>
    </w:p>
    <w:p w14:paraId="610E8BB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交货及付款</w:t>
      </w:r>
    </w:p>
    <w:p w14:paraId="0C63FD2B">
      <w:pPr>
        <w:pStyle w:val="76"/>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b w:val="0"/>
          <w:bCs/>
          <w:color w:val="auto"/>
          <w:highlight w:val="none"/>
          <w:u w:val="single"/>
          <w:lang w:val="en-US" w:eastAsia="zh-CN"/>
        </w:rPr>
      </w:pPr>
      <w:r>
        <w:rPr>
          <w:rFonts w:hint="eastAsia" w:cs="Times New Roman"/>
          <w:lang w:val="en-US" w:eastAsia="zh-CN"/>
        </w:rPr>
        <w:t>付款方式：</w:t>
      </w:r>
      <w:r>
        <w:rPr>
          <w:rFonts w:hint="eastAsia" w:cs="Times New Roman"/>
          <w:b w:val="0"/>
          <w:bCs/>
          <w:color w:val="auto"/>
          <w:highlight w:val="none"/>
          <w:u w:val="single"/>
          <w:lang w:val="en-US" w:eastAsia="zh-CN"/>
        </w:rPr>
        <w:t>半年期商业汇票（包括银行承兑汇票和商业承兑汇票）；</w:t>
      </w:r>
    </w:p>
    <w:p w14:paraId="36776B88">
      <w:pPr>
        <w:pStyle w:val="76"/>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付款节点：</w:t>
      </w:r>
    </w:p>
    <w:p w14:paraId="6CA08AEB">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outlineLvl w:val="9"/>
        <w:rPr>
          <w:rFonts w:hint="eastAsia" w:cs="Times New Roman"/>
          <w:b w:val="0"/>
          <w:bCs/>
          <w:i w:val="0"/>
          <w:iCs w:val="0"/>
          <w:color w:val="auto"/>
          <w:highlight w:val="none"/>
          <w:u w:val="none"/>
          <w:lang w:val="en-US" w:eastAsia="zh-CN"/>
        </w:rPr>
      </w:pPr>
      <w:r>
        <w:rPr>
          <w:rFonts w:hint="eastAsia" w:cs="Times New Roman"/>
          <w:b w:val="0"/>
          <w:bCs/>
          <w:i w:val="0"/>
          <w:iCs w:val="0"/>
          <w:color w:val="auto"/>
          <w:highlight w:val="none"/>
          <w:u w:val="none"/>
          <w:lang w:val="en-US" w:eastAsia="zh-CN"/>
        </w:rPr>
        <w:t>A. 设备验收合格后，中标人提供合同价款100%的增值税专用发票,经招标人依照财务制度审核通过后30日支付合同价款的90%；</w:t>
      </w:r>
    </w:p>
    <w:p w14:paraId="676FC133">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outlineLvl w:val="9"/>
        <w:rPr>
          <w:rFonts w:hint="default" w:cs="Times New Roman"/>
          <w:b/>
          <w:bCs w:val="0"/>
          <w:color w:val="FF0000"/>
          <w:highlight w:val="none"/>
          <w:u w:val="none"/>
          <w:lang w:val="en-US" w:eastAsia="zh-CN"/>
        </w:rPr>
      </w:pPr>
      <w:r>
        <w:rPr>
          <w:rFonts w:hint="eastAsia" w:cs="Times New Roman"/>
          <w:b w:val="0"/>
          <w:bCs/>
          <w:i w:val="0"/>
          <w:iCs w:val="0"/>
          <w:color w:val="auto"/>
          <w:highlight w:val="none"/>
          <w:u w:val="none"/>
          <w:lang w:val="en-US" w:eastAsia="zh-CN"/>
        </w:rPr>
        <w:t>B.合同总价款的10%作为本合同约定设备的质量保证金，质量保证金在质量保证期内不计利息。质保期届满后支付。</w:t>
      </w:r>
    </w:p>
    <w:p w14:paraId="6E0D743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lang w:val="en-US" w:eastAsia="zh-CN"/>
        </w:rPr>
      </w:pPr>
      <w:r>
        <w:rPr>
          <w:rFonts w:hint="eastAsia"/>
          <w:lang w:val="en-US" w:eastAsia="zh-CN"/>
        </w:rPr>
        <w:t>本次招标最终解释权归中国重汽集团杭州发动机有限公司。</w:t>
      </w:r>
    </w:p>
    <w:p w14:paraId="66BCACD8">
      <w:pPr>
        <w:pStyle w:val="76"/>
        <w:bidi w:val="0"/>
      </w:pPr>
    </w:p>
    <w:p w14:paraId="243FF35F">
      <w:pPr>
        <w:pStyle w:val="76"/>
        <w:bidi w:val="0"/>
        <w:rPr>
          <w:rFonts w:hint="eastAsia"/>
        </w:rPr>
      </w:pPr>
      <w:bookmarkStart w:id="11" w:name="_Toc47976607"/>
    </w:p>
    <w:p w14:paraId="362F0A00">
      <w:pPr>
        <w:pStyle w:val="76"/>
        <w:bidi w:val="0"/>
        <w:rPr>
          <w:rFonts w:hint="eastAsia"/>
        </w:rPr>
      </w:pPr>
    </w:p>
    <w:p w14:paraId="10AEFF69">
      <w:pPr>
        <w:pStyle w:val="76"/>
        <w:bidi w:val="0"/>
        <w:rPr>
          <w:rFonts w:hint="eastAsia"/>
        </w:rPr>
      </w:pPr>
    </w:p>
    <w:p w14:paraId="16F7CE97">
      <w:pPr>
        <w:pStyle w:val="76"/>
        <w:bidi w:val="0"/>
        <w:rPr>
          <w:rFonts w:hint="eastAsia"/>
        </w:rPr>
      </w:pPr>
    </w:p>
    <w:p w14:paraId="23D42FBD">
      <w:pPr>
        <w:pStyle w:val="76"/>
        <w:bidi w:val="0"/>
        <w:rPr>
          <w:rFonts w:hint="eastAsia"/>
        </w:rPr>
      </w:pPr>
    </w:p>
    <w:p w14:paraId="7307E11A">
      <w:pPr>
        <w:pStyle w:val="76"/>
        <w:bidi w:val="0"/>
        <w:rPr>
          <w:rFonts w:hint="eastAsia"/>
        </w:rPr>
      </w:pPr>
    </w:p>
    <w:p w14:paraId="3A64B4FF">
      <w:pPr>
        <w:pStyle w:val="76"/>
        <w:bidi w:val="0"/>
        <w:rPr>
          <w:rFonts w:hint="eastAsia"/>
        </w:rPr>
      </w:pPr>
    </w:p>
    <w:p w14:paraId="5C3553C2">
      <w:pPr>
        <w:pStyle w:val="76"/>
        <w:bidi w:val="0"/>
        <w:rPr>
          <w:rFonts w:hint="eastAsia"/>
        </w:rPr>
      </w:pPr>
    </w:p>
    <w:p w14:paraId="1AF0E59D">
      <w:pPr>
        <w:pStyle w:val="76"/>
        <w:bidi w:val="0"/>
        <w:rPr>
          <w:rFonts w:hint="eastAsia"/>
        </w:rPr>
      </w:pPr>
    </w:p>
    <w:p w14:paraId="15EC248A">
      <w:pPr>
        <w:pStyle w:val="76"/>
        <w:bidi w:val="0"/>
        <w:rPr>
          <w:rFonts w:hint="eastAsia"/>
        </w:rPr>
      </w:pPr>
    </w:p>
    <w:p w14:paraId="77B206CA">
      <w:pPr>
        <w:pStyle w:val="76"/>
        <w:bidi w:val="0"/>
        <w:rPr>
          <w:rFonts w:hint="eastAsia"/>
        </w:rPr>
      </w:pPr>
    </w:p>
    <w:p w14:paraId="04FBD8A5">
      <w:pPr>
        <w:pStyle w:val="76"/>
        <w:bidi w:val="0"/>
        <w:rPr>
          <w:rFonts w:hint="eastAsia"/>
        </w:rPr>
      </w:pPr>
    </w:p>
    <w:p w14:paraId="710BD1AD">
      <w:pPr>
        <w:pStyle w:val="76"/>
        <w:bidi w:val="0"/>
        <w:rPr>
          <w:rFonts w:hint="eastAsia"/>
        </w:rPr>
      </w:pPr>
    </w:p>
    <w:p w14:paraId="31968CA7">
      <w:pPr>
        <w:pStyle w:val="76"/>
        <w:bidi w:val="0"/>
        <w:rPr>
          <w:rFonts w:hint="eastAsia"/>
        </w:rPr>
      </w:pPr>
    </w:p>
    <w:p w14:paraId="05F9CD87">
      <w:pPr>
        <w:pStyle w:val="76"/>
        <w:bidi w:val="0"/>
        <w:rPr>
          <w:rFonts w:hint="eastAsia"/>
        </w:rPr>
      </w:pPr>
    </w:p>
    <w:p w14:paraId="60FEE3C6">
      <w:pPr>
        <w:pStyle w:val="76"/>
        <w:bidi w:val="0"/>
        <w:rPr>
          <w:rFonts w:hint="eastAsia"/>
        </w:rPr>
      </w:pPr>
    </w:p>
    <w:p w14:paraId="1D3BF604">
      <w:pPr>
        <w:rPr>
          <w:rFonts w:hint="eastAsia"/>
        </w:rPr>
      </w:pPr>
    </w:p>
    <w:p w14:paraId="1FB6CA61">
      <w:pPr>
        <w:pStyle w:val="71"/>
        <w:jc w:val="center"/>
        <w:rPr>
          <w:rFonts w:hint="default" w:eastAsia="黑体"/>
          <w:lang w:val="en-US" w:eastAsia="zh-CN"/>
        </w:rPr>
      </w:pPr>
      <w:bookmarkStart w:id="12" w:name="_Toc16839"/>
      <w:r>
        <w:rPr>
          <w:rFonts w:hint="eastAsia"/>
        </w:rPr>
        <w:t>第二部分　</w:t>
      </w:r>
      <w:bookmarkEnd w:id="11"/>
      <w:r>
        <w:rPr>
          <w:rFonts w:hint="eastAsia"/>
          <w:lang w:val="en-US" w:eastAsia="zh-CN"/>
        </w:rPr>
        <w:t>技术标书</w:t>
      </w:r>
      <w:bookmarkEnd w:id="12"/>
    </w:p>
    <w:p w14:paraId="03710CDF">
      <w:pPr>
        <w:spacing w:line="360" w:lineRule="auto"/>
        <w:rPr>
          <w:bCs/>
          <w:sz w:val="32"/>
          <w:szCs w:val="32"/>
        </w:rPr>
      </w:pPr>
      <w:r>
        <w:rPr>
          <w:rFonts w:hint="eastAsia"/>
          <w:bCs/>
          <w:sz w:val="32"/>
          <w:szCs w:val="32"/>
        </w:rPr>
        <w:t xml:space="preserve">      </w:t>
      </w:r>
    </w:p>
    <w:p w14:paraId="6B48880D">
      <w:pPr>
        <w:spacing w:line="360" w:lineRule="auto"/>
        <w:jc w:val="center"/>
        <w:rPr>
          <w:b/>
          <w:sz w:val="32"/>
          <w:szCs w:val="32"/>
        </w:rPr>
      </w:pPr>
    </w:p>
    <w:p w14:paraId="63F8B2CE">
      <w:pPr>
        <w:spacing w:line="360" w:lineRule="auto"/>
        <w:jc w:val="center"/>
        <w:rPr>
          <w:b/>
          <w:sz w:val="32"/>
          <w:szCs w:val="32"/>
        </w:rPr>
      </w:pPr>
    </w:p>
    <w:p w14:paraId="3F7ACAC8">
      <w:pPr>
        <w:pStyle w:val="2"/>
        <w:jc w:val="center"/>
        <w:rPr>
          <w:rFonts w:ascii="Calibri" w:eastAsia="宋体" w:cs="Times New Roman"/>
          <w:b/>
          <w:bCs/>
          <w:color w:val="000000"/>
          <w:spacing w:val="-8"/>
          <w:sz w:val="52"/>
          <w:szCs w:val="52"/>
        </w:rPr>
      </w:pPr>
      <w:bookmarkStart w:id="13" w:name="_Toc169605877"/>
      <w:r>
        <w:rPr>
          <w:rFonts w:hint="eastAsia" w:ascii="Calibri" w:eastAsia="宋体" w:cs="Times New Roman"/>
          <w:b/>
          <w:bCs/>
          <w:color w:val="000000"/>
          <w:spacing w:val="-8"/>
          <w:sz w:val="52"/>
          <w:szCs w:val="52"/>
        </w:rPr>
        <w:t>中国重汽集团杭州发动机有限公司</w:t>
      </w:r>
    </w:p>
    <w:p w14:paraId="08975DE1">
      <w:pPr>
        <w:pStyle w:val="2"/>
        <w:jc w:val="center"/>
        <w:rPr>
          <w:rFonts w:ascii="Calibri" w:eastAsia="宋体" w:cs="Times New Roman"/>
          <w:b/>
          <w:bCs/>
          <w:color w:val="000000"/>
          <w:spacing w:val="-8"/>
          <w:sz w:val="52"/>
          <w:szCs w:val="52"/>
        </w:rPr>
      </w:pPr>
      <w:r>
        <w:rPr>
          <w:rFonts w:hint="eastAsia" w:ascii="Calibri" w:eastAsia="宋体" w:cs="Times New Roman"/>
          <w:b/>
          <w:bCs/>
          <w:color w:val="000000"/>
          <w:spacing w:val="-8"/>
          <w:sz w:val="52"/>
          <w:szCs w:val="52"/>
        </w:rPr>
        <w:t xml:space="preserve">更新中走丝线切割机床项目 </w:t>
      </w:r>
    </w:p>
    <w:p w14:paraId="7ADEF105">
      <w:pPr>
        <w:pStyle w:val="2"/>
        <w:jc w:val="center"/>
        <w:rPr>
          <w:rFonts w:ascii="Calibri" w:eastAsia="宋体" w:cs="Times New Roman"/>
          <w:b/>
          <w:bCs/>
          <w:color w:val="000000"/>
          <w:spacing w:val="-8"/>
          <w:sz w:val="52"/>
          <w:szCs w:val="52"/>
        </w:rPr>
      </w:pPr>
    </w:p>
    <w:p w14:paraId="5ED2BEAB">
      <w:pPr>
        <w:jc w:val="center"/>
        <w:rPr>
          <w:rFonts w:ascii="黑体" w:hAnsi="宋体" w:eastAsia="黑体" w:cs="Times New Roman"/>
          <w:color w:val="000000"/>
          <w:sz w:val="72"/>
          <w:szCs w:val="72"/>
        </w:rPr>
      </w:pPr>
      <w:r>
        <w:rPr>
          <w:rFonts w:hint="eastAsia" w:ascii="黑体" w:hAnsi="宋体" w:eastAsia="宋体" w:cs="Times New Roman"/>
          <w:color w:val="000000"/>
          <w:sz w:val="72"/>
          <w:szCs w:val="72"/>
        </w:rPr>
        <w:t>技</w:t>
      </w:r>
    </w:p>
    <w:p w14:paraId="4E093853">
      <w:pPr>
        <w:jc w:val="center"/>
        <w:rPr>
          <w:rFonts w:ascii="黑体" w:hAnsi="宋体" w:eastAsia="黑体" w:cs="Times New Roman"/>
          <w:color w:val="000000"/>
          <w:sz w:val="72"/>
          <w:szCs w:val="72"/>
        </w:rPr>
      </w:pPr>
      <w:r>
        <w:rPr>
          <w:rFonts w:hint="eastAsia" w:ascii="黑体" w:hAnsi="宋体" w:eastAsia="宋体" w:cs="Times New Roman"/>
          <w:color w:val="000000"/>
          <w:sz w:val="72"/>
          <w:szCs w:val="72"/>
        </w:rPr>
        <w:t>术</w:t>
      </w:r>
    </w:p>
    <w:p w14:paraId="39B76E25">
      <w:pPr>
        <w:jc w:val="center"/>
        <w:rPr>
          <w:rFonts w:ascii="黑体" w:hAnsi="宋体" w:eastAsia="黑体" w:cs="Times New Roman"/>
          <w:color w:val="000000"/>
          <w:sz w:val="72"/>
          <w:szCs w:val="72"/>
        </w:rPr>
      </w:pPr>
      <w:r>
        <w:rPr>
          <w:rFonts w:hint="eastAsia" w:ascii="黑体" w:hAnsi="宋体" w:eastAsia="宋体" w:cs="Times New Roman"/>
          <w:color w:val="000000"/>
          <w:sz w:val="72"/>
          <w:szCs w:val="72"/>
        </w:rPr>
        <w:t>标</w:t>
      </w:r>
    </w:p>
    <w:p w14:paraId="7D53B38C">
      <w:pPr>
        <w:jc w:val="center"/>
        <w:rPr>
          <w:rFonts w:ascii="黑体" w:hAnsi="宋体" w:eastAsia="黑体" w:cs="Times New Roman"/>
          <w:color w:val="000000"/>
          <w:sz w:val="72"/>
          <w:szCs w:val="72"/>
        </w:rPr>
      </w:pPr>
      <w:r>
        <w:rPr>
          <w:rFonts w:hint="eastAsia" w:ascii="黑体" w:hAnsi="宋体" w:eastAsia="宋体" w:cs="Times New Roman"/>
          <w:color w:val="000000"/>
          <w:sz w:val="72"/>
          <w:szCs w:val="72"/>
        </w:rPr>
        <w:t>书</w:t>
      </w:r>
    </w:p>
    <w:p w14:paraId="4EAF5836">
      <w:pPr>
        <w:spacing w:line="860" w:lineRule="exact"/>
        <w:ind w:firstLine="1928" w:firstLineChars="600"/>
        <w:rPr>
          <w:rFonts w:ascii="华文仿宋" w:hAnsi="华文仿宋" w:eastAsia="宋体"/>
          <w:b/>
          <w:bCs/>
          <w:sz w:val="32"/>
          <w:szCs w:val="28"/>
        </w:rPr>
      </w:pPr>
      <w:r>
        <w:rPr>
          <w:rFonts w:hint="eastAsia" w:ascii="华文仿宋" w:hAnsi="华文仿宋" w:eastAsia="宋体"/>
          <w:b/>
          <w:bCs/>
          <w:sz w:val="32"/>
          <w:szCs w:val="28"/>
        </w:rPr>
        <w:t>编制：李嘉辉</w:t>
      </w:r>
    </w:p>
    <w:p w14:paraId="22BA9337">
      <w:pPr>
        <w:spacing w:line="860" w:lineRule="exact"/>
        <w:ind w:left="1890" w:leftChars="900"/>
        <w:rPr>
          <w:rFonts w:ascii="华文仿宋" w:hAnsi="华文仿宋" w:eastAsia="宋体"/>
          <w:b/>
          <w:bCs/>
          <w:sz w:val="32"/>
          <w:szCs w:val="28"/>
        </w:rPr>
      </w:pPr>
      <w:r>
        <w:rPr>
          <w:rFonts w:hint="eastAsia" w:ascii="华文仿宋" w:hAnsi="华文仿宋" w:eastAsia="宋体"/>
          <w:b/>
          <w:bCs/>
          <w:sz w:val="32"/>
          <w:szCs w:val="28"/>
        </w:rPr>
        <w:t>校对：罗    军</w:t>
      </w:r>
    </w:p>
    <w:p w14:paraId="2F128D94">
      <w:pPr>
        <w:spacing w:line="860" w:lineRule="exact"/>
        <w:ind w:left="1890" w:leftChars="900"/>
        <w:rPr>
          <w:rFonts w:ascii="华文仿宋" w:hAnsi="华文仿宋" w:eastAsia="宋体"/>
          <w:sz w:val="32"/>
          <w:szCs w:val="28"/>
        </w:rPr>
      </w:pPr>
      <w:r>
        <w:rPr>
          <w:rFonts w:hint="eastAsia" w:ascii="华文仿宋" w:hAnsi="华文仿宋" w:eastAsia="宋体"/>
          <w:b/>
          <w:bCs/>
          <w:sz w:val="32"/>
          <w:szCs w:val="28"/>
        </w:rPr>
        <w:t>会签：张    旭</w:t>
      </w:r>
    </w:p>
    <w:p w14:paraId="593FCD19">
      <w:pPr>
        <w:spacing w:line="860" w:lineRule="exact"/>
        <w:ind w:left="1890" w:leftChars="900"/>
        <w:rPr>
          <w:rFonts w:ascii="华文仿宋" w:hAnsi="华文仿宋" w:eastAsia="宋体"/>
          <w:b/>
          <w:bCs/>
          <w:sz w:val="32"/>
          <w:szCs w:val="28"/>
        </w:rPr>
      </w:pPr>
      <w:r>
        <w:rPr>
          <w:rFonts w:hint="eastAsia" w:ascii="华文仿宋" w:hAnsi="华文仿宋" w:eastAsia="宋体"/>
          <w:b/>
          <w:bCs/>
          <w:sz w:val="32"/>
          <w:szCs w:val="28"/>
        </w:rPr>
        <w:t>审核：钟晓渝</w:t>
      </w:r>
    </w:p>
    <w:p w14:paraId="370EC274">
      <w:pPr>
        <w:spacing w:line="860" w:lineRule="exact"/>
        <w:ind w:left="1890" w:leftChars="900"/>
        <w:rPr>
          <w:rFonts w:ascii="华文仿宋" w:hAnsi="华文仿宋" w:eastAsia="宋体"/>
          <w:b/>
          <w:bCs/>
          <w:sz w:val="32"/>
          <w:szCs w:val="28"/>
        </w:rPr>
      </w:pPr>
      <w:r>
        <w:rPr>
          <w:rFonts w:hint="eastAsia" w:ascii="华文仿宋" w:hAnsi="华文仿宋" w:eastAsia="宋体"/>
          <w:b/>
          <w:bCs/>
          <w:sz w:val="32"/>
          <w:szCs w:val="28"/>
        </w:rPr>
        <w:t>批准：姜爱良</w:t>
      </w:r>
    </w:p>
    <w:p w14:paraId="716B8A41">
      <w:pPr>
        <w:pStyle w:val="2"/>
        <w:rPr>
          <w:rFonts w:ascii="华文仿宋" w:hAnsi="华文仿宋" w:eastAsia="华文仿宋"/>
          <w:b/>
          <w:bCs/>
          <w:sz w:val="32"/>
          <w:szCs w:val="28"/>
        </w:rPr>
      </w:pPr>
    </w:p>
    <w:p w14:paraId="6E59627D">
      <w:pPr>
        <w:pStyle w:val="2"/>
        <w:rPr>
          <w:b/>
          <w:bCs/>
        </w:rPr>
      </w:pPr>
    </w:p>
    <w:p w14:paraId="0CC1F39B">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人：中国重汽集团杭州发动机有限公司</w:t>
      </w:r>
    </w:p>
    <w:p w14:paraId="019C94E4">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1</w:t>
      </w:r>
      <w:r>
        <w:rPr>
          <w:rFonts w:hint="eastAsia" w:ascii="Calibri" w:hAnsi="Calibri" w:eastAsia="宋体" w:cs="Times New Roman"/>
          <w:color w:val="000000"/>
          <w:sz w:val="28"/>
          <w:szCs w:val="28"/>
          <w:lang w:val="en-US" w:eastAsia="zh-CN"/>
        </w:rPr>
        <w:t>2</w:t>
      </w:r>
      <w:r>
        <w:rPr>
          <w:rFonts w:hint="eastAsia" w:ascii="Calibri" w:hAnsi="Calibri" w:eastAsia="宋体" w:cs="Times New Roman"/>
          <w:color w:val="000000"/>
          <w:sz w:val="28"/>
          <w:szCs w:val="28"/>
        </w:rPr>
        <w:t>月</w:t>
      </w:r>
    </w:p>
    <w:p w14:paraId="76B6704E">
      <w:pPr>
        <w:spacing w:line="360" w:lineRule="auto"/>
        <w:rPr>
          <w:rFonts w:ascii="宋体" w:hAnsi="宋体" w:eastAsia="宋体" w:cs="Times New Roman"/>
          <w:b/>
          <w:sz w:val="36"/>
          <w:szCs w:val="36"/>
        </w:rPr>
        <w:sectPr>
          <w:headerReference r:id="rId7" w:type="default"/>
          <w:footerReference r:id="rId8" w:type="default"/>
          <w:pgSz w:w="11905" w:h="16838"/>
          <w:pgMar w:top="1587" w:right="1417" w:bottom="1134" w:left="1417" w:header="726" w:footer="850" w:gutter="0"/>
          <w:pgNumType w:fmt="numberInDash"/>
          <w:cols w:space="0" w:num="1"/>
          <w:docGrid w:linePitch="290" w:charSpace="0"/>
        </w:sectPr>
      </w:pPr>
    </w:p>
    <w:p w14:paraId="4F657710"/>
    <w:p w14:paraId="49B63DE4">
      <w:pPr>
        <w:spacing w:before="120" w:after="120" w:line="360" w:lineRule="auto"/>
        <w:jc w:val="center"/>
        <w:rPr>
          <w:rFonts w:hAnsi="Calibri"/>
          <w:b/>
          <w:bCs/>
          <w:sz w:val="28"/>
          <w:szCs w:val="28"/>
        </w:rPr>
      </w:pPr>
      <w:r>
        <w:rPr>
          <w:rFonts w:hint="eastAsia"/>
          <w:b/>
          <w:bCs/>
          <w:sz w:val="28"/>
          <w:szCs w:val="28"/>
        </w:rPr>
        <w:t>第一章</w:t>
      </w:r>
      <w:r>
        <w:rPr>
          <w:b/>
          <w:bCs/>
          <w:sz w:val="28"/>
          <w:szCs w:val="28"/>
        </w:rPr>
        <w:t xml:space="preserve">  </w:t>
      </w:r>
      <w:r>
        <w:rPr>
          <w:rFonts w:hint="eastAsia"/>
          <w:b/>
          <w:bCs/>
          <w:sz w:val="28"/>
          <w:szCs w:val="28"/>
        </w:rPr>
        <w:t>采购货物概况</w:t>
      </w:r>
    </w:p>
    <w:p w14:paraId="351EDD8C">
      <w:pPr>
        <w:spacing w:before="120" w:after="120" w:line="360" w:lineRule="auto"/>
        <w:jc w:val="center"/>
        <w:rPr>
          <w:rFonts w:ascii="黑体" w:hAnsi="黑体" w:eastAsia="黑体" w:cs="黑体"/>
          <w:sz w:val="24"/>
          <w:szCs w:val="24"/>
        </w:rPr>
      </w:pPr>
      <w:r>
        <w:rPr>
          <w:rFonts w:hint="eastAsia" w:ascii="黑体" w:hAnsi="黑体" w:eastAsia="黑体" w:cs="黑体"/>
          <w:sz w:val="24"/>
          <w:szCs w:val="24"/>
        </w:rPr>
        <w:t>第一节  使用环境</w:t>
      </w:r>
    </w:p>
    <w:p w14:paraId="732525A5">
      <w:pPr>
        <w:spacing w:line="360" w:lineRule="auto"/>
        <w:rPr>
          <w:sz w:val="24"/>
          <w:szCs w:val="24"/>
        </w:rPr>
      </w:pPr>
      <w:r>
        <w:rPr>
          <w:rFonts w:hint="eastAsia"/>
          <w:sz w:val="24"/>
          <w:szCs w:val="24"/>
        </w:rPr>
        <w:t>一、项目名称：</w:t>
      </w:r>
      <w:r>
        <w:rPr>
          <w:rFonts w:hint="eastAsia"/>
          <w:sz w:val="24"/>
          <w:szCs w:val="24"/>
          <w:u w:val="single"/>
        </w:rPr>
        <w:t>更新中走丝线切割机床项目</w:t>
      </w:r>
    </w:p>
    <w:p w14:paraId="60093CDC">
      <w:pPr>
        <w:spacing w:line="360" w:lineRule="auto"/>
        <w:rPr>
          <w:rFonts w:ascii="宋体"/>
          <w:sz w:val="24"/>
          <w:szCs w:val="24"/>
        </w:rPr>
      </w:pPr>
      <w:r>
        <w:rPr>
          <w:rFonts w:hint="eastAsia"/>
          <w:sz w:val="24"/>
          <w:szCs w:val="24"/>
        </w:rPr>
        <w:t>二、建设地点：</w:t>
      </w:r>
      <w:r>
        <w:rPr>
          <w:rFonts w:hint="eastAsia"/>
          <w:sz w:val="24"/>
          <w:szCs w:val="24"/>
          <w:u w:val="single"/>
        </w:rPr>
        <w:t>杭州市萧山经济技术开发区红泰六路699号</w:t>
      </w:r>
      <w:r>
        <w:rPr>
          <w:rFonts w:hint="eastAsia"/>
          <w:sz w:val="24"/>
          <w:szCs w:val="24"/>
        </w:rPr>
        <w:t xml:space="preserve"> </w:t>
      </w:r>
    </w:p>
    <w:p w14:paraId="2C8E0211">
      <w:pPr>
        <w:spacing w:line="360" w:lineRule="auto"/>
        <w:rPr>
          <w:sz w:val="24"/>
          <w:szCs w:val="24"/>
          <w:u w:val="single"/>
        </w:rPr>
      </w:pPr>
      <w:r>
        <w:rPr>
          <w:rFonts w:hint="eastAsia"/>
          <w:sz w:val="24"/>
          <w:szCs w:val="24"/>
        </w:rPr>
        <w:t>三、使用地点：</w:t>
      </w:r>
      <w:r>
        <w:rPr>
          <w:rFonts w:hint="eastAsia"/>
          <w:sz w:val="24"/>
          <w:szCs w:val="24"/>
          <w:u w:val="single"/>
        </w:rPr>
        <w:t>中国重汽集团杭州发动机有限公司</w:t>
      </w:r>
    </w:p>
    <w:p w14:paraId="2BD81D03">
      <w:pPr>
        <w:spacing w:line="360" w:lineRule="auto"/>
        <w:rPr>
          <w:sz w:val="24"/>
          <w:szCs w:val="24"/>
        </w:rPr>
      </w:pPr>
      <w:r>
        <w:rPr>
          <w:rFonts w:hint="eastAsia" w:ascii="黑体"/>
          <w:sz w:val="24"/>
          <w:szCs w:val="24"/>
        </w:rPr>
        <w:t>四、工作制度：</w:t>
      </w:r>
      <w:r>
        <w:rPr>
          <w:rFonts w:hint="eastAsia"/>
          <w:sz w:val="24"/>
          <w:szCs w:val="24"/>
        </w:rPr>
        <w:t>全年工作≥250天</w:t>
      </w:r>
    </w:p>
    <w:p w14:paraId="304992BF">
      <w:pPr>
        <w:spacing w:line="360" w:lineRule="auto"/>
        <w:rPr>
          <w:color w:val="FF0000"/>
          <w:sz w:val="24"/>
          <w:szCs w:val="24"/>
        </w:rPr>
      </w:pPr>
      <w:r>
        <w:rPr>
          <w:rFonts w:hint="eastAsia"/>
          <w:sz w:val="24"/>
          <w:szCs w:val="24"/>
        </w:rPr>
        <w:t>五、使用地点区域自然环境：</w:t>
      </w:r>
      <w:r>
        <w:rPr>
          <w:color w:val="FF0000"/>
          <w:sz w:val="24"/>
          <w:szCs w:val="24"/>
        </w:rPr>
        <w:t xml:space="preserve"> </w:t>
      </w:r>
    </w:p>
    <w:p w14:paraId="346F636C">
      <w:pPr>
        <w:pStyle w:val="62"/>
        <w:spacing w:line="360" w:lineRule="auto"/>
        <w:ind w:firstLine="0"/>
        <w:rPr>
          <w:rFonts w:ascii="宋体"/>
          <w:sz w:val="24"/>
          <w:szCs w:val="24"/>
        </w:rPr>
      </w:pPr>
      <w:r>
        <w:rPr>
          <w:sz w:val="24"/>
          <w:szCs w:val="24"/>
        </w:rPr>
        <w:t>1、海拨高度：1000m以下</w:t>
      </w:r>
      <w:r>
        <w:rPr>
          <w:sz w:val="24"/>
          <w:szCs w:val="24"/>
        </w:rPr>
        <w:br w:type="textWrapping"/>
      </w:r>
      <w:r>
        <w:rPr>
          <w:sz w:val="24"/>
          <w:szCs w:val="24"/>
        </w:rPr>
        <w:t>2、环境温度：室外极端最低温度-19.7℃、极端最高温度42℃，昼夜最大温差25℃；室内温度5～45℃。</w:t>
      </w:r>
      <w:r>
        <w:rPr>
          <w:sz w:val="24"/>
          <w:szCs w:val="24"/>
        </w:rPr>
        <w:br w:type="textWrapping"/>
      </w:r>
      <w:r>
        <w:rPr>
          <w:sz w:val="24"/>
          <w:szCs w:val="24"/>
        </w:rPr>
        <w:t>3、相对湿度：年平均59%，最大95%、最小15%。</w:t>
      </w:r>
      <w:r>
        <w:rPr>
          <w:sz w:val="24"/>
          <w:szCs w:val="24"/>
        </w:rPr>
        <w:br w:type="textWrapping"/>
      </w:r>
      <w:r>
        <w:rPr>
          <w:sz w:val="24"/>
          <w:szCs w:val="24"/>
        </w:rPr>
        <w:t>4、降雨量：日最大降雨量300mm、时最大降雨量100mm。</w:t>
      </w:r>
      <w:r>
        <w:rPr>
          <w:sz w:val="24"/>
          <w:szCs w:val="24"/>
        </w:rPr>
        <w:br w:type="textWrapping"/>
      </w:r>
      <w:r>
        <w:rPr>
          <w:sz w:val="24"/>
          <w:szCs w:val="24"/>
        </w:rPr>
        <w:t xml:space="preserve">5、最大风速：33.3m/s。 </w:t>
      </w:r>
      <w:r>
        <w:rPr>
          <w:sz w:val="24"/>
          <w:szCs w:val="24"/>
        </w:rPr>
        <w:br w:type="textWrapping"/>
      </w:r>
      <w:r>
        <w:rPr>
          <w:rFonts w:hint="eastAsia"/>
          <w:sz w:val="24"/>
          <w:szCs w:val="24"/>
        </w:rPr>
        <w:t>六、能源环境：</w:t>
      </w:r>
    </w:p>
    <w:p w14:paraId="0D192984">
      <w:pPr>
        <w:pStyle w:val="62"/>
        <w:spacing w:line="360" w:lineRule="auto"/>
        <w:ind w:firstLine="0"/>
        <w:rPr>
          <w:sz w:val="24"/>
          <w:szCs w:val="24"/>
        </w:rPr>
      </w:pPr>
      <w:r>
        <w:rPr>
          <w:rFonts w:hint="eastAsia"/>
          <w:sz w:val="24"/>
          <w:szCs w:val="24"/>
        </w:rPr>
        <w:t>1、电力：</w:t>
      </w:r>
      <w:r>
        <w:rPr>
          <w:sz w:val="24"/>
          <w:szCs w:val="24"/>
        </w:rPr>
        <w:t>中国制式，供电电压380V±15%/220V±15%，供电频率50Hz±2%，三相五线。</w:t>
      </w:r>
    </w:p>
    <w:p w14:paraId="4A69F427">
      <w:pPr>
        <w:spacing w:before="120" w:after="120" w:line="360" w:lineRule="auto"/>
        <w:jc w:val="center"/>
        <w:rPr>
          <w:rFonts w:ascii="黑体" w:hAnsi="黑体" w:eastAsia="黑体" w:cs="黑体"/>
          <w:sz w:val="24"/>
          <w:szCs w:val="24"/>
        </w:rPr>
      </w:pPr>
      <w:bookmarkStart w:id="14" w:name="_Toc13018"/>
      <w:bookmarkStart w:id="15" w:name="_Toc9838"/>
      <w:bookmarkStart w:id="16" w:name="_Toc27088"/>
      <w:bookmarkStart w:id="17" w:name="_Toc137705867"/>
      <w:bookmarkStart w:id="18" w:name="_Toc19068"/>
      <w:r>
        <w:rPr>
          <w:rFonts w:hint="eastAsia" w:ascii="黑体" w:hAnsi="黑体" w:eastAsia="黑体" w:cs="黑体"/>
          <w:sz w:val="24"/>
          <w:szCs w:val="24"/>
        </w:rPr>
        <w:t>第二节  采购货物概况</w:t>
      </w:r>
      <w:bookmarkEnd w:id="14"/>
      <w:bookmarkEnd w:id="15"/>
      <w:bookmarkEnd w:id="16"/>
      <w:bookmarkEnd w:id="17"/>
      <w:bookmarkEnd w:id="18"/>
    </w:p>
    <w:p w14:paraId="64562E32">
      <w:pPr>
        <w:spacing w:line="360" w:lineRule="auto"/>
        <w:rPr>
          <w:sz w:val="24"/>
          <w:szCs w:val="24"/>
        </w:rPr>
      </w:pPr>
      <w:r>
        <w:rPr>
          <w:rFonts w:hint="eastAsia"/>
          <w:sz w:val="24"/>
          <w:szCs w:val="24"/>
        </w:rPr>
        <w:t>一、货物名称：</w:t>
      </w:r>
      <w:r>
        <w:rPr>
          <w:rFonts w:hint="eastAsia"/>
          <w:sz w:val="24"/>
          <w:szCs w:val="24"/>
          <w:u w:val="single"/>
        </w:rPr>
        <w:t>中走丝线切割机床</w:t>
      </w:r>
      <w:r>
        <w:rPr>
          <w:rFonts w:hint="eastAsia"/>
          <w:sz w:val="24"/>
          <w:szCs w:val="24"/>
        </w:rPr>
        <w:t>（详见下表）</w:t>
      </w:r>
    </w:p>
    <w:p w14:paraId="6D584E3D">
      <w:pPr>
        <w:spacing w:line="360" w:lineRule="auto"/>
        <w:rPr>
          <w:rFonts w:ascii="宋体" w:hAnsi="宋体" w:cs="宋体"/>
          <w:sz w:val="24"/>
          <w:szCs w:val="24"/>
        </w:rPr>
      </w:pPr>
      <w:r>
        <w:rPr>
          <w:rFonts w:hint="eastAsia"/>
          <w:sz w:val="24"/>
          <w:szCs w:val="24"/>
        </w:rPr>
        <w:t>二、货物数量：</w:t>
      </w:r>
      <w:r>
        <w:rPr>
          <w:rFonts w:hint="eastAsia" w:ascii="宋体" w:hAnsi="宋体" w:cs="宋体"/>
          <w:sz w:val="24"/>
          <w:szCs w:val="24"/>
        </w:rPr>
        <w:t xml:space="preserve"> </w:t>
      </w:r>
      <w:r>
        <w:rPr>
          <w:rFonts w:hint="eastAsia" w:ascii="宋体" w:hAnsi="宋体" w:cs="宋体"/>
          <w:sz w:val="24"/>
          <w:szCs w:val="24"/>
          <w:u w:val="single"/>
        </w:rPr>
        <w:t>1台</w:t>
      </w:r>
      <w:r>
        <w:rPr>
          <w:rFonts w:hint="eastAsia" w:ascii="宋体" w:hAnsi="宋体" w:cs="宋体"/>
          <w:sz w:val="24"/>
          <w:szCs w:val="24"/>
        </w:rPr>
        <w:t xml:space="preserve"> （详见下表）</w:t>
      </w:r>
    </w:p>
    <w:p w14:paraId="377C19D7">
      <w:pPr>
        <w:spacing w:line="360" w:lineRule="auto"/>
        <w:rPr>
          <w:rFonts w:ascii="宋体" w:hAnsi="宋体" w:cs="宋体"/>
          <w:sz w:val="24"/>
          <w:szCs w:val="24"/>
        </w:rPr>
      </w:pPr>
      <w:r>
        <w:rPr>
          <w:rFonts w:hint="eastAsia"/>
          <w:sz w:val="24"/>
          <w:szCs w:val="24"/>
        </w:rPr>
        <w:t>三、分投分中：</w:t>
      </w:r>
      <w:r>
        <w:rPr>
          <w:rFonts w:hint="eastAsia" w:ascii="宋体" w:hAnsi="宋体" w:cs="宋体"/>
          <w:sz w:val="24"/>
          <w:szCs w:val="24"/>
        </w:rPr>
        <w:t>不允许。</w:t>
      </w:r>
    </w:p>
    <w:p w14:paraId="204BF682">
      <w:pPr>
        <w:pStyle w:val="2"/>
        <w:spacing w:line="360" w:lineRule="auto"/>
        <w:rPr>
          <w:sz w:val="24"/>
          <w:szCs w:val="24"/>
        </w:rPr>
      </w:pPr>
      <w:r>
        <w:rPr>
          <w:rFonts w:hint="eastAsia"/>
          <w:sz w:val="24"/>
          <w:szCs w:val="24"/>
        </w:rPr>
        <w:t>四、采购货物主要构成一览表</w:t>
      </w:r>
    </w:p>
    <w:tbl>
      <w:tblPr>
        <w:tblStyle w:val="30"/>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0"/>
        <w:gridCol w:w="2006"/>
        <w:gridCol w:w="1304"/>
        <w:gridCol w:w="645"/>
        <w:gridCol w:w="629"/>
        <w:gridCol w:w="2266"/>
        <w:gridCol w:w="1064"/>
        <w:gridCol w:w="564"/>
      </w:tblGrid>
      <w:tr w14:paraId="02FA1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70" w:hRule="atLeast"/>
          <w:jc w:val="center"/>
        </w:trPr>
        <w:tc>
          <w:tcPr>
            <w:tcW w:w="345" w:type="pct"/>
            <w:vAlign w:val="center"/>
          </w:tcPr>
          <w:p w14:paraId="540C47D2">
            <w:pPr>
              <w:jc w:val="center"/>
              <w:rPr>
                <w:sz w:val="24"/>
                <w:szCs w:val="24"/>
              </w:rPr>
            </w:pPr>
            <w:r>
              <w:rPr>
                <w:rFonts w:hint="eastAsia"/>
                <w:sz w:val="24"/>
                <w:szCs w:val="24"/>
              </w:rPr>
              <w:t>序号</w:t>
            </w:r>
          </w:p>
        </w:tc>
        <w:tc>
          <w:tcPr>
            <w:tcW w:w="1100" w:type="pct"/>
            <w:vAlign w:val="center"/>
          </w:tcPr>
          <w:p w14:paraId="5EDEAE3D">
            <w:pPr>
              <w:jc w:val="center"/>
              <w:rPr>
                <w:sz w:val="24"/>
                <w:szCs w:val="24"/>
              </w:rPr>
            </w:pPr>
            <w:r>
              <w:rPr>
                <w:rFonts w:hint="eastAsia"/>
                <w:sz w:val="24"/>
                <w:szCs w:val="24"/>
              </w:rPr>
              <w:t>名称</w:t>
            </w:r>
          </w:p>
        </w:tc>
        <w:tc>
          <w:tcPr>
            <w:tcW w:w="716" w:type="pct"/>
            <w:vAlign w:val="center"/>
          </w:tcPr>
          <w:p w14:paraId="51DF9149">
            <w:pPr>
              <w:jc w:val="center"/>
              <w:rPr>
                <w:sz w:val="24"/>
                <w:szCs w:val="24"/>
              </w:rPr>
            </w:pPr>
            <w:r>
              <w:rPr>
                <w:rFonts w:hint="eastAsia"/>
                <w:sz w:val="24"/>
                <w:szCs w:val="24"/>
              </w:rPr>
              <w:t>型号规格</w:t>
            </w:r>
          </w:p>
        </w:tc>
        <w:tc>
          <w:tcPr>
            <w:tcW w:w="354" w:type="pct"/>
            <w:vAlign w:val="center"/>
          </w:tcPr>
          <w:p w14:paraId="64BBD633">
            <w:pPr>
              <w:jc w:val="center"/>
              <w:rPr>
                <w:sz w:val="24"/>
                <w:szCs w:val="24"/>
              </w:rPr>
            </w:pPr>
            <w:r>
              <w:rPr>
                <w:rFonts w:hint="eastAsia"/>
                <w:sz w:val="24"/>
                <w:szCs w:val="24"/>
              </w:rPr>
              <w:t>单位</w:t>
            </w:r>
          </w:p>
        </w:tc>
        <w:tc>
          <w:tcPr>
            <w:tcW w:w="345" w:type="pct"/>
            <w:vAlign w:val="center"/>
          </w:tcPr>
          <w:p w14:paraId="10DFDF3A">
            <w:pPr>
              <w:jc w:val="center"/>
              <w:rPr>
                <w:sz w:val="24"/>
                <w:szCs w:val="24"/>
              </w:rPr>
            </w:pPr>
            <w:r>
              <w:rPr>
                <w:rFonts w:hint="eastAsia"/>
                <w:sz w:val="24"/>
                <w:szCs w:val="24"/>
              </w:rPr>
              <w:t>数量</w:t>
            </w:r>
          </w:p>
        </w:tc>
        <w:tc>
          <w:tcPr>
            <w:tcW w:w="1243" w:type="pct"/>
            <w:vAlign w:val="center"/>
          </w:tcPr>
          <w:p w14:paraId="48FECCAA">
            <w:pPr>
              <w:jc w:val="center"/>
              <w:rPr>
                <w:sz w:val="24"/>
                <w:szCs w:val="24"/>
              </w:rPr>
            </w:pPr>
            <w:r>
              <w:rPr>
                <w:rFonts w:hint="eastAsia"/>
                <w:sz w:val="24"/>
                <w:szCs w:val="24"/>
              </w:rPr>
              <w:t>安装地点/服务对象</w:t>
            </w:r>
          </w:p>
        </w:tc>
        <w:tc>
          <w:tcPr>
            <w:tcW w:w="584" w:type="pct"/>
            <w:vAlign w:val="center"/>
          </w:tcPr>
          <w:p w14:paraId="7B58289E">
            <w:pPr>
              <w:jc w:val="center"/>
              <w:rPr>
                <w:sz w:val="24"/>
                <w:szCs w:val="24"/>
              </w:rPr>
            </w:pPr>
            <w:r>
              <w:rPr>
                <w:rFonts w:hint="eastAsia"/>
                <w:sz w:val="24"/>
                <w:szCs w:val="24"/>
              </w:rPr>
              <w:t>供货方式</w:t>
            </w:r>
          </w:p>
        </w:tc>
        <w:tc>
          <w:tcPr>
            <w:tcW w:w="310" w:type="pct"/>
            <w:vAlign w:val="center"/>
          </w:tcPr>
          <w:p w14:paraId="31633E2A">
            <w:pPr>
              <w:jc w:val="center"/>
              <w:rPr>
                <w:sz w:val="24"/>
                <w:szCs w:val="24"/>
              </w:rPr>
            </w:pPr>
            <w:r>
              <w:rPr>
                <w:rFonts w:hint="eastAsia"/>
                <w:sz w:val="24"/>
                <w:szCs w:val="24"/>
              </w:rPr>
              <w:t>备注</w:t>
            </w:r>
          </w:p>
        </w:tc>
      </w:tr>
      <w:tr w14:paraId="56ACA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624" w:hRule="atLeast"/>
          <w:jc w:val="center"/>
        </w:trPr>
        <w:tc>
          <w:tcPr>
            <w:tcW w:w="345" w:type="pct"/>
            <w:vAlign w:val="center"/>
          </w:tcPr>
          <w:p w14:paraId="14A88F50">
            <w:pPr>
              <w:widowControl/>
              <w:jc w:val="center"/>
              <w:textAlignment w:val="center"/>
              <w:rPr>
                <w:sz w:val="24"/>
                <w:szCs w:val="24"/>
              </w:rPr>
            </w:pPr>
            <w:r>
              <w:rPr>
                <w:rFonts w:hint="eastAsia"/>
                <w:sz w:val="24"/>
                <w:szCs w:val="24"/>
              </w:rPr>
              <w:t>1</w:t>
            </w:r>
          </w:p>
        </w:tc>
        <w:tc>
          <w:tcPr>
            <w:tcW w:w="1100" w:type="pct"/>
            <w:vAlign w:val="center"/>
          </w:tcPr>
          <w:p w14:paraId="46E03C18">
            <w:pPr>
              <w:widowControl/>
              <w:jc w:val="center"/>
              <w:textAlignment w:val="center"/>
              <w:rPr>
                <w:sz w:val="24"/>
                <w:szCs w:val="24"/>
              </w:rPr>
            </w:pPr>
            <w:r>
              <w:rPr>
                <w:rFonts w:hint="eastAsia"/>
                <w:sz w:val="24"/>
                <w:szCs w:val="24"/>
              </w:rPr>
              <w:t>中走丝线切割机床</w:t>
            </w:r>
          </w:p>
        </w:tc>
        <w:tc>
          <w:tcPr>
            <w:tcW w:w="716" w:type="pct"/>
            <w:vAlign w:val="center"/>
          </w:tcPr>
          <w:p w14:paraId="036FA6E2">
            <w:pPr>
              <w:widowControl/>
              <w:jc w:val="center"/>
              <w:textAlignment w:val="center"/>
              <w:rPr>
                <w:sz w:val="24"/>
                <w:szCs w:val="24"/>
              </w:rPr>
            </w:pPr>
            <w:r>
              <w:rPr>
                <w:rFonts w:hint="eastAsia"/>
                <w:sz w:val="24"/>
                <w:szCs w:val="24"/>
              </w:rPr>
              <w:t>详见第二章技术要求</w:t>
            </w:r>
          </w:p>
        </w:tc>
        <w:tc>
          <w:tcPr>
            <w:tcW w:w="354" w:type="pct"/>
            <w:vAlign w:val="center"/>
          </w:tcPr>
          <w:p w14:paraId="63ED015E">
            <w:pPr>
              <w:widowControl/>
              <w:jc w:val="center"/>
              <w:textAlignment w:val="center"/>
              <w:rPr>
                <w:sz w:val="24"/>
                <w:szCs w:val="24"/>
              </w:rPr>
            </w:pPr>
            <w:r>
              <w:rPr>
                <w:rFonts w:hint="eastAsia"/>
                <w:sz w:val="24"/>
                <w:szCs w:val="24"/>
              </w:rPr>
              <w:t>台</w:t>
            </w:r>
          </w:p>
        </w:tc>
        <w:tc>
          <w:tcPr>
            <w:tcW w:w="345" w:type="pct"/>
            <w:vAlign w:val="center"/>
          </w:tcPr>
          <w:p w14:paraId="312B2DA6">
            <w:pPr>
              <w:widowControl/>
              <w:jc w:val="center"/>
              <w:textAlignment w:val="center"/>
              <w:rPr>
                <w:sz w:val="24"/>
                <w:szCs w:val="24"/>
              </w:rPr>
            </w:pPr>
            <w:r>
              <w:rPr>
                <w:rFonts w:hint="eastAsia"/>
                <w:sz w:val="24"/>
                <w:szCs w:val="24"/>
              </w:rPr>
              <w:t>1</w:t>
            </w:r>
          </w:p>
        </w:tc>
        <w:tc>
          <w:tcPr>
            <w:tcW w:w="1243" w:type="pct"/>
            <w:vAlign w:val="center"/>
          </w:tcPr>
          <w:p w14:paraId="61D3749F">
            <w:pPr>
              <w:widowControl/>
              <w:jc w:val="center"/>
              <w:textAlignment w:val="center"/>
              <w:rPr>
                <w:sz w:val="24"/>
                <w:szCs w:val="24"/>
              </w:rPr>
            </w:pPr>
            <w:r>
              <w:rPr>
                <w:rFonts w:hint="eastAsia"/>
                <w:sz w:val="24"/>
                <w:szCs w:val="24"/>
              </w:rPr>
              <w:t>杭州发动机有限公司</w:t>
            </w:r>
          </w:p>
        </w:tc>
        <w:tc>
          <w:tcPr>
            <w:tcW w:w="584" w:type="pct"/>
            <w:vAlign w:val="center"/>
          </w:tcPr>
          <w:p w14:paraId="4CC08CED">
            <w:pPr>
              <w:widowControl/>
              <w:jc w:val="center"/>
              <w:textAlignment w:val="center"/>
              <w:rPr>
                <w:sz w:val="24"/>
                <w:szCs w:val="24"/>
              </w:rPr>
            </w:pPr>
            <w:r>
              <w:rPr>
                <w:rFonts w:hint="eastAsia"/>
                <w:sz w:val="24"/>
                <w:szCs w:val="24"/>
              </w:rPr>
              <w:t>交钥匙</w:t>
            </w:r>
          </w:p>
        </w:tc>
        <w:tc>
          <w:tcPr>
            <w:tcW w:w="310" w:type="pct"/>
            <w:vAlign w:val="center"/>
          </w:tcPr>
          <w:p w14:paraId="719938CE">
            <w:pPr>
              <w:spacing w:line="360" w:lineRule="auto"/>
              <w:jc w:val="center"/>
              <w:rPr>
                <w:sz w:val="24"/>
                <w:szCs w:val="24"/>
              </w:rPr>
            </w:pPr>
          </w:p>
        </w:tc>
      </w:tr>
      <w:tr w14:paraId="27492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624" w:hRule="atLeast"/>
          <w:jc w:val="center"/>
        </w:trPr>
        <w:tc>
          <w:tcPr>
            <w:tcW w:w="345" w:type="pct"/>
            <w:vAlign w:val="center"/>
          </w:tcPr>
          <w:p w14:paraId="28146B84">
            <w:pPr>
              <w:widowControl/>
              <w:jc w:val="center"/>
              <w:textAlignment w:val="center"/>
              <w:rPr>
                <w:sz w:val="24"/>
                <w:szCs w:val="24"/>
              </w:rPr>
            </w:pPr>
            <w:r>
              <w:rPr>
                <w:rFonts w:hint="eastAsia"/>
                <w:sz w:val="24"/>
                <w:szCs w:val="24"/>
              </w:rPr>
              <w:t>2</w:t>
            </w:r>
          </w:p>
        </w:tc>
        <w:tc>
          <w:tcPr>
            <w:tcW w:w="1100" w:type="pct"/>
            <w:vAlign w:val="center"/>
          </w:tcPr>
          <w:p w14:paraId="607353FD">
            <w:pPr>
              <w:widowControl/>
              <w:jc w:val="center"/>
              <w:textAlignment w:val="center"/>
              <w:rPr>
                <w:sz w:val="24"/>
                <w:szCs w:val="24"/>
              </w:rPr>
            </w:pPr>
            <w:r>
              <w:rPr>
                <w:rFonts w:hint="eastAsia"/>
                <w:sz w:val="24"/>
                <w:szCs w:val="24"/>
              </w:rPr>
              <w:t>物流</w:t>
            </w:r>
          </w:p>
        </w:tc>
        <w:tc>
          <w:tcPr>
            <w:tcW w:w="716" w:type="pct"/>
            <w:vAlign w:val="center"/>
          </w:tcPr>
          <w:p w14:paraId="227B77C6">
            <w:pPr>
              <w:widowControl/>
              <w:jc w:val="center"/>
              <w:textAlignment w:val="center"/>
              <w:rPr>
                <w:sz w:val="24"/>
                <w:szCs w:val="24"/>
              </w:rPr>
            </w:pPr>
            <w:r>
              <w:rPr>
                <w:rFonts w:hint="eastAsia"/>
                <w:sz w:val="24"/>
                <w:szCs w:val="24"/>
              </w:rPr>
              <w:t>/</w:t>
            </w:r>
          </w:p>
        </w:tc>
        <w:tc>
          <w:tcPr>
            <w:tcW w:w="354" w:type="pct"/>
            <w:vAlign w:val="center"/>
          </w:tcPr>
          <w:p w14:paraId="0563BB7E">
            <w:pPr>
              <w:widowControl/>
              <w:jc w:val="center"/>
              <w:textAlignment w:val="center"/>
              <w:rPr>
                <w:sz w:val="24"/>
                <w:szCs w:val="24"/>
              </w:rPr>
            </w:pPr>
            <w:r>
              <w:rPr>
                <w:rFonts w:hint="eastAsia"/>
                <w:sz w:val="24"/>
                <w:szCs w:val="24"/>
              </w:rPr>
              <w:t>项</w:t>
            </w:r>
          </w:p>
        </w:tc>
        <w:tc>
          <w:tcPr>
            <w:tcW w:w="345" w:type="pct"/>
            <w:vAlign w:val="center"/>
          </w:tcPr>
          <w:p w14:paraId="6E59D5B1">
            <w:pPr>
              <w:widowControl/>
              <w:jc w:val="center"/>
              <w:textAlignment w:val="center"/>
              <w:rPr>
                <w:sz w:val="24"/>
                <w:szCs w:val="24"/>
              </w:rPr>
            </w:pPr>
            <w:r>
              <w:rPr>
                <w:rFonts w:hint="eastAsia"/>
                <w:sz w:val="24"/>
                <w:szCs w:val="24"/>
              </w:rPr>
              <w:t>1</w:t>
            </w:r>
          </w:p>
        </w:tc>
        <w:tc>
          <w:tcPr>
            <w:tcW w:w="1243" w:type="pct"/>
            <w:vAlign w:val="center"/>
          </w:tcPr>
          <w:p w14:paraId="48C83DD7">
            <w:pPr>
              <w:spacing w:line="360" w:lineRule="auto"/>
              <w:jc w:val="center"/>
              <w:rPr>
                <w:sz w:val="24"/>
                <w:szCs w:val="24"/>
              </w:rPr>
            </w:pPr>
            <w:r>
              <w:rPr>
                <w:rFonts w:hint="eastAsia"/>
                <w:sz w:val="24"/>
                <w:szCs w:val="24"/>
              </w:rPr>
              <w:t>杭州发动机有限公司</w:t>
            </w:r>
          </w:p>
        </w:tc>
        <w:tc>
          <w:tcPr>
            <w:tcW w:w="584" w:type="pct"/>
            <w:vAlign w:val="center"/>
          </w:tcPr>
          <w:p w14:paraId="2CDD7299">
            <w:pPr>
              <w:spacing w:line="360" w:lineRule="auto"/>
              <w:jc w:val="center"/>
              <w:rPr>
                <w:sz w:val="24"/>
                <w:szCs w:val="24"/>
              </w:rPr>
            </w:pPr>
            <w:r>
              <w:rPr>
                <w:rFonts w:hint="eastAsia"/>
                <w:sz w:val="24"/>
                <w:szCs w:val="24"/>
              </w:rPr>
              <w:t>交钥匙</w:t>
            </w:r>
          </w:p>
        </w:tc>
        <w:tc>
          <w:tcPr>
            <w:tcW w:w="310" w:type="pct"/>
            <w:vAlign w:val="center"/>
          </w:tcPr>
          <w:p w14:paraId="5683EBB3">
            <w:pPr>
              <w:spacing w:line="360" w:lineRule="auto"/>
              <w:jc w:val="center"/>
              <w:rPr>
                <w:sz w:val="24"/>
                <w:szCs w:val="24"/>
              </w:rPr>
            </w:pPr>
          </w:p>
        </w:tc>
      </w:tr>
      <w:tr w14:paraId="0A28D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624" w:hRule="atLeast"/>
          <w:jc w:val="center"/>
        </w:trPr>
        <w:tc>
          <w:tcPr>
            <w:tcW w:w="345" w:type="pct"/>
            <w:vAlign w:val="center"/>
          </w:tcPr>
          <w:p w14:paraId="0DFDE8C6">
            <w:pPr>
              <w:widowControl/>
              <w:jc w:val="center"/>
              <w:textAlignment w:val="center"/>
              <w:rPr>
                <w:sz w:val="24"/>
                <w:szCs w:val="24"/>
              </w:rPr>
            </w:pPr>
            <w:r>
              <w:rPr>
                <w:rFonts w:hint="eastAsia"/>
                <w:sz w:val="24"/>
                <w:szCs w:val="24"/>
              </w:rPr>
              <w:t>3</w:t>
            </w:r>
          </w:p>
        </w:tc>
        <w:tc>
          <w:tcPr>
            <w:tcW w:w="1100" w:type="pct"/>
            <w:vAlign w:val="center"/>
          </w:tcPr>
          <w:p w14:paraId="7101A7EE">
            <w:pPr>
              <w:widowControl/>
              <w:jc w:val="center"/>
              <w:textAlignment w:val="center"/>
              <w:rPr>
                <w:sz w:val="24"/>
                <w:szCs w:val="24"/>
              </w:rPr>
            </w:pPr>
            <w:r>
              <w:rPr>
                <w:rFonts w:hint="eastAsia"/>
                <w:sz w:val="24"/>
                <w:szCs w:val="24"/>
              </w:rPr>
              <w:t>安装调试</w:t>
            </w:r>
          </w:p>
        </w:tc>
        <w:tc>
          <w:tcPr>
            <w:tcW w:w="716" w:type="pct"/>
            <w:vAlign w:val="center"/>
          </w:tcPr>
          <w:p w14:paraId="0A9FD821">
            <w:pPr>
              <w:widowControl/>
              <w:jc w:val="center"/>
              <w:textAlignment w:val="center"/>
              <w:rPr>
                <w:sz w:val="24"/>
                <w:szCs w:val="24"/>
              </w:rPr>
            </w:pPr>
            <w:r>
              <w:rPr>
                <w:rFonts w:hint="eastAsia"/>
                <w:sz w:val="24"/>
                <w:szCs w:val="24"/>
              </w:rPr>
              <w:t>/</w:t>
            </w:r>
          </w:p>
        </w:tc>
        <w:tc>
          <w:tcPr>
            <w:tcW w:w="354" w:type="pct"/>
            <w:vAlign w:val="center"/>
          </w:tcPr>
          <w:p w14:paraId="093B1F52">
            <w:pPr>
              <w:widowControl/>
              <w:jc w:val="center"/>
              <w:textAlignment w:val="center"/>
              <w:rPr>
                <w:sz w:val="24"/>
                <w:szCs w:val="24"/>
              </w:rPr>
            </w:pPr>
            <w:r>
              <w:rPr>
                <w:rFonts w:hint="eastAsia"/>
                <w:sz w:val="24"/>
                <w:szCs w:val="24"/>
              </w:rPr>
              <w:t>项</w:t>
            </w:r>
          </w:p>
        </w:tc>
        <w:tc>
          <w:tcPr>
            <w:tcW w:w="345" w:type="pct"/>
            <w:vAlign w:val="center"/>
          </w:tcPr>
          <w:p w14:paraId="7B21E819">
            <w:pPr>
              <w:widowControl/>
              <w:jc w:val="center"/>
              <w:textAlignment w:val="center"/>
              <w:rPr>
                <w:sz w:val="24"/>
                <w:szCs w:val="24"/>
              </w:rPr>
            </w:pPr>
            <w:r>
              <w:rPr>
                <w:rFonts w:hint="eastAsia"/>
                <w:sz w:val="24"/>
                <w:szCs w:val="24"/>
              </w:rPr>
              <w:t>1</w:t>
            </w:r>
          </w:p>
        </w:tc>
        <w:tc>
          <w:tcPr>
            <w:tcW w:w="1243" w:type="pct"/>
            <w:vAlign w:val="center"/>
          </w:tcPr>
          <w:p w14:paraId="51AB6F23">
            <w:pPr>
              <w:spacing w:line="360" w:lineRule="auto"/>
              <w:jc w:val="center"/>
              <w:rPr>
                <w:sz w:val="24"/>
                <w:szCs w:val="24"/>
              </w:rPr>
            </w:pPr>
            <w:r>
              <w:rPr>
                <w:rFonts w:hint="eastAsia"/>
                <w:sz w:val="24"/>
                <w:szCs w:val="24"/>
              </w:rPr>
              <w:t>杭州发动机有限公司</w:t>
            </w:r>
          </w:p>
        </w:tc>
        <w:tc>
          <w:tcPr>
            <w:tcW w:w="584" w:type="pct"/>
            <w:vAlign w:val="center"/>
          </w:tcPr>
          <w:p w14:paraId="7794C906">
            <w:pPr>
              <w:spacing w:line="360" w:lineRule="auto"/>
              <w:jc w:val="center"/>
              <w:rPr>
                <w:sz w:val="24"/>
                <w:szCs w:val="24"/>
              </w:rPr>
            </w:pPr>
            <w:r>
              <w:rPr>
                <w:rFonts w:hint="eastAsia"/>
                <w:sz w:val="24"/>
                <w:szCs w:val="24"/>
              </w:rPr>
              <w:t>交钥匙</w:t>
            </w:r>
          </w:p>
        </w:tc>
        <w:tc>
          <w:tcPr>
            <w:tcW w:w="310" w:type="pct"/>
            <w:vAlign w:val="center"/>
          </w:tcPr>
          <w:p w14:paraId="523D71E3">
            <w:pPr>
              <w:spacing w:line="360" w:lineRule="auto"/>
              <w:jc w:val="center"/>
              <w:rPr>
                <w:sz w:val="24"/>
                <w:szCs w:val="24"/>
              </w:rPr>
            </w:pPr>
          </w:p>
        </w:tc>
      </w:tr>
    </w:tbl>
    <w:p w14:paraId="57EBD784">
      <w:pPr>
        <w:spacing w:line="360" w:lineRule="auto"/>
        <w:rPr>
          <w:sz w:val="24"/>
          <w:szCs w:val="24"/>
        </w:rPr>
      </w:pPr>
    </w:p>
    <w:p w14:paraId="7CDE9C5E">
      <w:pPr>
        <w:spacing w:line="360" w:lineRule="auto"/>
        <w:rPr>
          <w:sz w:val="24"/>
          <w:szCs w:val="24"/>
        </w:rPr>
      </w:pPr>
      <w:r>
        <w:rPr>
          <w:rFonts w:hint="eastAsia"/>
          <w:sz w:val="24"/>
          <w:szCs w:val="24"/>
        </w:rPr>
        <w:t>备注：</w:t>
      </w:r>
    </w:p>
    <w:p w14:paraId="44B47F31">
      <w:pPr>
        <w:spacing w:line="360" w:lineRule="auto"/>
        <w:rPr>
          <w:sz w:val="24"/>
          <w:szCs w:val="24"/>
        </w:rPr>
      </w:pPr>
      <w:r>
        <w:rPr>
          <w:rFonts w:hint="eastAsia"/>
          <w:sz w:val="24"/>
          <w:szCs w:val="24"/>
        </w:rPr>
        <w:t>1、本表所列采购货物仅为货物的主要构成部分，应配套供货以及招标人所列其他货物（或设备）和服务，请投标人认真阅读“供货范围”。若有异议，不管是多么微小，都应在投标档“商务偏离”章节中予以详细说明。</w:t>
      </w:r>
    </w:p>
    <w:p w14:paraId="1F861B6D">
      <w:pPr>
        <w:spacing w:line="360" w:lineRule="auto"/>
        <w:rPr>
          <w:sz w:val="24"/>
          <w:szCs w:val="24"/>
        </w:rPr>
      </w:pPr>
      <w:r>
        <w:rPr>
          <w:rFonts w:hint="eastAsia"/>
          <w:sz w:val="24"/>
          <w:szCs w:val="24"/>
        </w:rPr>
        <w:t>2、本表“供货方式”指：交钥匙方式——包括制造、运输、定点卸货、安装、调试和协助验收以及约定培训等。</w:t>
      </w:r>
    </w:p>
    <w:p w14:paraId="6AF0FCDC">
      <w:pPr>
        <w:spacing w:line="360" w:lineRule="auto"/>
        <w:rPr>
          <w:sz w:val="24"/>
          <w:szCs w:val="24"/>
        </w:rPr>
      </w:pPr>
      <w:r>
        <w:rPr>
          <w:rFonts w:hint="eastAsia"/>
          <w:sz w:val="24"/>
          <w:szCs w:val="24"/>
        </w:rPr>
        <w:t>3、以上内容仅对设备的基本功能进行了描述和建议，表中所列内容仅供参考，投标方投标前需对生产现场工艺环境进行充分调研与了解，确保投标方案满足工艺、产品、节拍、功能等要求，投标方对投标方案负责。</w:t>
      </w:r>
    </w:p>
    <w:p w14:paraId="5CF829F5">
      <w:pPr>
        <w:spacing w:line="360" w:lineRule="auto"/>
        <w:rPr>
          <w:sz w:val="24"/>
          <w:szCs w:val="24"/>
        </w:rPr>
      </w:pPr>
      <w:r>
        <w:rPr>
          <w:rFonts w:hint="eastAsia"/>
          <w:sz w:val="24"/>
          <w:szCs w:val="24"/>
        </w:rPr>
        <w:t>五、采购货物特别说明</w:t>
      </w:r>
    </w:p>
    <w:p w14:paraId="09785C4A">
      <w:pPr>
        <w:spacing w:line="360" w:lineRule="auto"/>
        <w:rPr>
          <w:sz w:val="24"/>
          <w:szCs w:val="24"/>
        </w:rPr>
      </w:pPr>
      <w:r>
        <w:rPr>
          <w:rFonts w:hint="eastAsia"/>
          <w:sz w:val="24"/>
          <w:szCs w:val="24"/>
        </w:rPr>
        <w:t>招标人所列货物的名称和规格型号，如为某一供应商所特有，则该名称和规格型号可作参考，但要求投标人所提供的货物必须满足本技术标书实质性要求</w:t>
      </w:r>
      <w:r>
        <w:rPr>
          <w:rFonts w:hint="eastAsia" w:cs="Times New Roman"/>
          <w:sz w:val="24"/>
          <w:szCs w:val="24"/>
        </w:rPr>
        <w:t>。</w:t>
      </w:r>
    </w:p>
    <w:p w14:paraId="2D2D4527">
      <w:pPr>
        <w:spacing w:before="120" w:after="120" w:line="360" w:lineRule="auto"/>
        <w:jc w:val="center"/>
        <w:rPr>
          <w:b/>
          <w:bCs/>
          <w:sz w:val="28"/>
          <w:szCs w:val="28"/>
        </w:rPr>
      </w:pPr>
      <w:r>
        <w:rPr>
          <w:rFonts w:hint="eastAsia"/>
          <w:b/>
          <w:bCs/>
          <w:sz w:val="28"/>
          <w:szCs w:val="28"/>
        </w:rPr>
        <w:t>第二章  技术要求</w:t>
      </w:r>
    </w:p>
    <w:p w14:paraId="2930EF22">
      <w:pPr>
        <w:spacing w:line="360" w:lineRule="auto"/>
        <w:rPr>
          <w:rFonts w:ascii="黑体" w:hAnsi="黑体" w:eastAsia="黑体" w:cs="黑体"/>
          <w:sz w:val="24"/>
          <w:szCs w:val="24"/>
        </w:rPr>
      </w:pPr>
      <w:r>
        <w:rPr>
          <w:rFonts w:hint="eastAsia" w:ascii="黑体" w:hAnsi="黑体" w:eastAsia="黑体" w:cs="黑体"/>
          <w:sz w:val="24"/>
          <w:szCs w:val="24"/>
        </w:rPr>
        <w:t>一、基本要求</w:t>
      </w:r>
    </w:p>
    <w:p w14:paraId="54366227">
      <w:pPr>
        <w:spacing w:line="360" w:lineRule="auto"/>
        <w:rPr>
          <w:sz w:val="24"/>
          <w:szCs w:val="24"/>
        </w:rPr>
      </w:pPr>
      <w:r>
        <w:rPr>
          <w:rFonts w:hint="eastAsia"/>
          <w:sz w:val="24"/>
          <w:szCs w:val="24"/>
        </w:rPr>
        <w:t>1、本章技术要求，仅对功能、设计、结构、性能、安装和试验检验等方面，提出了最低和一般性的技术要求，并未对一切技术细节作出规定。</w:t>
      </w:r>
    </w:p>
    <w:p w14:paraId="68155967">
      <w:pPr>
        <w:spacing w:line="360" w:lineRule="auto"/>
        <w:rPr>
          <w:sz w:val="24"/>
          <w:szCs w:val="24"/>
        </w:rPr>
      </w:pPr>
      <w:r>
        <w:rPr>
          <w:rFonts w:hint="eastAsia"/>
          <w:sz w:val="24"/>
          <w:szCs w:val="24"/>
        </w:rPr>
        <w:t>2、本技术要求所使用的标准、规范等，如与投标人所执行的标准、规范不一致时，应按高于本技术要求所列的标准、规范执行。</w:t>
      </w:r>
    </w:p>
    <w:p w14:paraId="4BBE8116">
      <w:pPr>
        <w:spacing w:line="360" w:lineRule="auto"/>
        <w:rPr>
          <w:sz w:val="24"/>
          <w:szCs w:val="24"/>
        </w:rPr>
      </w:pPr>
      <w:r>
        <w:rPr>
          <w:rFonts w:hint="eastAsia"/>
          <w:sz w:val="24"/>
          <w:szCs w:val="24"/>
        </w:rPr>
        <w:t>3、投标人认为所供货物必需由招标人配备、解决或提供的其他要求，如设备基础隔振和减振设施、软化水、洁净气源等，均应在投标档“技术偏离”中予以充分说明。</w:t>
      </w:r>
    </w:p>
    <w:p w14:paraId="0169C877">
      <w:pPr>
        <w:spacing w:line="360" w:lineRule="auto"/>
        <w:rPr>
          <w:sz w:val="24"/>
          <w:szCs w:val="24"/>
        </w:rPr>
      </w:pPr>
      <w:r>
        <w:rPr>
          <w:rFonts w:hint="eastAsia"/>
          <w:sz w:val="24"/>
          <w:szCs w:val="24"/>
        </w:rPr>
        <w:t>4、投标人应根据招投标货物具体要求，提出对厂房、设备基础（或安装平台）、公用设施、消防、环保等超出招标档、投标档、答疑档、技术交流档、技术协议书和合同等规定的、有特殊需要的解释、说明和要求。</w:t>
      </w:r>
    </w:p>
    <w:p w14:paraId="604D3F80">
      <w:pPr>
        <w:spacing w:line="360" w:lineRule="auto"/>
        <w:rPr>
          <w:sz w:val="24"/>
          <w:szCs w:val="24"/>
        </w:rPr>
      </w:pPr>
      <w:r>
        <w:rPr>
          <w:rFonts w:hint="eastAsia"/>
          <w:sz w:val="24"/>
          <w:szCs w:val="24"/>
        </w:rPr>
        <w:t>5、无论是否有技术偏离，投标人均应在投标档“技术偏离”中明确作出有无说明。若有异议，不管是多么微小，投标人必须予以明确和详细的说明或澄清。</w:t>
      </w:r>
    </w:p>
    <w:p w14:paraId="26B21B69">
      <w:pPr>
        <w:spacing w:line="360" w:lineRule="auto"/>
        <w:rPr>
          <w:sz w:val="24"/>
          <w:szCs w:val="24"/>
        </w:rPr>
      </w:pPr>
      <w:r>
        <w:rPr>
          <w:rFonts w:hint="eastAsia"/>
          <w:sz w:val="24"/>
          <w:szCs w:val="24"/>
        </w:rPr>
        <w:t>6、为避免投标人优势在招标评审时漏项，质保期超出本技术标书要求的，应当在投标档“技术偏离”中特别注明。</w:t>
      </w:r>
    </w:p>
    <w:p w14:paraId="559B3218">
      <w:pPr>
        <w:spacing w:line="360" w:lineRule="auto"/>
        <w:rPr>
          <w:sz w:val="24"/>
          <w:szCs w:val="24"/>
        </w:rPr>
      </w:pPr>
      <w:r>
        <w:rPr>
          <w:rFonts w:hint="eastAsia"/>
          <w:sz w:val="24"/>
          <w:szCs w:val="24"/>
        </w:rPr>
        <w:t>7、投标档中，针对“特别提示”条款所做的回应，将作为投标人能否中标的重要依据之一。</w:t>
      </w:r>
    </w:p>
    <w:p w14:paraId="45756639">
      <w:pPr>
        <w:spacing w:line="360" w:lineRule="auto"/>
        <w:rPr>
          <w:rFonts w:ascii="黑体" w:hAnsi="黑体" w:eastAsia="黑体" w:cs="黑体"/>
          <w:sz w:val="24"/>
          <w:szCs w:val="24"/>
        </w:rPr>
      </w:pPr>
      <w:r>
        <w:rPr>
          <w:rFonts w:hint="eastAsia" w:ascii="黑体" w:hAnsi="黑体" w:eastAsia="黑体" w:cs="黑体"/>
          <w:sz w:val="24"/>
          <w:szCs w:val="24"/>
        </w:rPr>
        <w:t>二、执行标准</w:t>
      </w:r>
    </w:p>
    <w:p w14:paraId="7075E7F3">
      <w:pPr>
        <w:spacing w:line="360" w:lineRule="auto"/>
        <w:rPr>
          <w:sz w:val="24"/>
          <w:szCs w:val="24"/>
        </w:rPr>
      </w:pPr>
      <w:r>
        <w:rPr>
          <w:rFonts w:hint="eastAsia"/>
          <w:sz w:val="24"/>
          <w:szCs w:val="24"/>
        </w:rPr>
        <w:t>1、投标人所供的货物，必须符合中国最新版的法律、法规和相关标准、规范的要求，符合项目所在地政府有关特殊要求。</w:t>
      </w:r>
    </w:p>
    <w:p w14:paraId="4B537CEF">
      <w:pPr>
        <w:spacing w:line="360" w:lineRule="auto"/>
        <w:rPr>
          <w:sz w:val="24"/>
          <w:szCs w:val="24"/>
        </w:rPr>
      </w:pPr>
      <w:r>
        <w:rPr>
          <w:rFonts w:hint="eastAsia"/>
          <w:sz w:val="24"/>
          <w:szCs w:val="24"/>
        </w:rPr>
        <w:t>2、投标人所供货物涉及的专利权技术以及知识产权保护的其他技术等，应保证招标人不因此受到任何侵权指控以及实际损失。</w:t>
      </w:r>
    </w:p>
    <w:p w14:paraId="068B5444">
      <w:pPr>
        <w:spacing w:line="360" w:lineRule="auto"/>
        <w:rPr>
          <w:sz w:val="24"/>
          <w:szCs w:val="24"/>
        </w:rPr>
      </w:pPr>
      <w:r>
        <w:rPr>
          <w:rFonts w:hint="eastAsia"/>
          <w:sz w:val="24"/>
          <w:szCs w:val="24"/>
        </w:rPr>
        <w:t>3、投标人应保证所供货物的先进性、可靠性、经济性和实用性，并为全新货物（或设备）。</w:t>
      </w:r>
    </w:p>
    <w:p w14:paraId="7A0FE00A">
      <w:pPr>
        <w:spacing w:line="360" w:lineRule="auto"/>
        <w:rPr>
          <w:sz w:val="24"/>
          <w:szCs w:val="24"/>
        </w:rPr>
      </w:pPr>
      <w:r>
        <w:rPr>
          <w:rFonts w:hint="eastAsia"/>
          <w:sz w:val="24"/>
          <w:szCs w:val="24"/>
        </w:rPr>
        <w:t>4、投标人应满足招标人提出的各项技术要求，必要时应当免费提供技术承诺或担保。</w:t>
      </w:r>
    </w:p>
    <w:p w14:paraId="461435E8">
      <w:pPr>
        <w:spacing w:line="360" w:lineRule="auto"/>
        <w:rPr>
          <w:sz w:val="24"/>
          <w:szCs w:val="24"/>
        </w:rPr>
      </w:pPr>
      <w:r>
        <w:rPr>
          <w:rFonts w:hint="eastAsia"/>
          <w:sz w:val="24"/>
          <w:szCs w:val="24"/>
        </w:rPr>
        <w:t>5、投标人应保证所供货物（或设备）为中国政府指定或规定的主管部门公布的非淘汰货物（或设备）。</w:t>
      </w:r>
    </w:p>
    <w:p w14:paraId="4CD5DDF3">
      <w:pPr>
        <w:spacing w:line="360" w:lineRule="auto"/>
        <w:rPr>
          <w:sz w:val="24"/>
          <w:szCs w:val="24"/>
        </w:rPr>
      </w:pPr>
      <w:r>
        <w:rPr>
          <w:rFonts w:hint="eastAsia"/>
          <w:sz w:val="24"/>
          <w:szCs w:val="24"/>
        </w:rPr>
        <w:t>6、投标人应保证所供货物的完整性和成套性，能保证货物的正常运行、使用。</w:t>
      </w:r>
    </w:p>
    <w:p w14:paraId="34597B41">
      <w:pPr>
        <w:spacing w:line="360" w:lineRule="auto"/>
        <w:rPr>
          <w:rFonts w:ascii="黑体" w:hAnsi="黑体" w:eastAsia="黑体" w:cs="黑体"/>
          <w:sz w:val="24"/>
          <w:szCs w:val="24"/>
        </w:rPr>
      </w:pPr>
      <w:r>
        <w:rPr>
          <w:rFonts w:hint="eastAsia"/>
          <w:sz w:val="24"/>
          <w:szCs w:val="24"/>
        </w:rPr>
        <w:t>7、投标人应对招标人采购的货物所涉及的技术、产能等信息负有保密义务，招标人拥有追究投标人泄密责任的权利；招标人如有需要，投标人应无条件签署保密协议。</w:t>
      </w:r>
      <w:r>
        <w:rPr>
          <w:rFonts w:hint="eastAsia" w:ascii="黑体" w:hAnsi="黑体" w:eastAsia="黑体" w:cs="黑体"/>
          <w:sz w:val="24"/>
          <w:szCs w:val="24"/>
        </w:rPr>
        <w:t>三、技术要求概况：</w:t>
      </w:r>
    </w:p>
    <w:p w14:paraId="2C4CF292">
      <w:pPr>
        <w:spacing w:line="360" w:lineRule="auto"/>
        <w:ind w:firstLine="420"/>
        <w:rPr>
          <w:sz w:val="24"/>
          <w:szCs w:val="24"/>
        </w:rPr>
      </w:pPr>
      <w:r>
        <w:rPr>
          <w:rFonts w:hint="eastAsia"/>
          <w:sz w:val="24"/>
          <w:szCs w:val="24"/>
        </w:rPr>
        <w:t>中走丝线切割机床本体采用高强度铸件，具有足够的刚性和稳定性；X、Y轴采用步进电机控制，X×Y×Z行程不小于630×500×350mm。</w:t>
      </w:r>
    </w:p>
    <w:p w14:paraId="62C2B01A">
      <w:pPr>
        <w:spacing w:line="360" w:lineRule="auto"/>
        <w:rPr>
          <w:sz w:val="24"/>
          <w:szCs w:val="24"/>
        </w:rPr>
      </w:pPr>
      <w:r>
        <w:rPr>
          <w:rFonts w:hint="eastAsia" w:ascii="黑体" w:hAnsi="黑体" w:eastAsia="黑体" w:cs="黑体"/>
          <w:sz w:val="24"/>
          <w:szCs w:val="24"/>
        </w:rPr>
        <w:t>四、设备主要技术规格</w:t>
      </w:r>
    </w:p>
    <w:p w14:paraId="4B6B3544">
      <w:pPr>
        <w:spacing w:line="360" w:lineRule="auto"/>
        <w:rPr>
          <w:sz w:val="24"/>
          <w:szCs w:val="24"/>
        </w:rPr>
      </w:pPr>
      <w:r>
        <w:rPr>
          <w:rFonts w:hint="eastAsia"/>
          <w:sz w:val="24"/>
          <w:szCs w:val="24"/>
        </w:rPr>
        <w:t>1、工作台尺寸不小于930×650mm，最大承载重量不小于500kg。</w:t>
      </w:r>
    </w:p>
    <w:p w14:paraId="39BDE9DB">
      <w:pPr>
        <w:spacing w:line="360" w:lineRule="auto"/>
        <w:rPr>
          <w:sz w:val="24"/>
          <w:szCs w:val="24"/>
        </w:rPr>
      </w:pPr>
      <w:r>
        <w:rPr>
          <w:rFonts w:hint="eastAsia"/>
          <w:sz w:val="24"/>
          <w:szCs w:val="24"/>
        </w:rPr>
        <w:t>2、X、Y轴数显，采用步进电机控制。</w:t>
      </w:r>
    </w:p>
    <w:p w14:paraId="00F60E43">
      <w:pPr>
        <w:spacing w:line="360" w:lineRule="auto"/>
        <w:rPr>
          <w:sz w:val="24"/>
          <w:szCs w:val="24"/>
        </w:rPr>
      </w:pPr>
      <w:r>
        <w:rPr>
          <w:rFonts w:hint="eastAsia"/>
          <w:sz w:val="24"/>
          <w:szCs w:val="24"/>
        </w:rPr>
        <w:t>3、最佳加工表面粗糙度Ra≤1.6μm。</w:t>
      </w:r>
    </w:p>
    <w:p w14:paraId="3D6B87EA">
      <w:pPr>
        <w:spacing w:line="360" w:lineRule="auto"/>
        <w:rPr>
          <w:sz w:val="24"/>
          <w:szCs w:val="24"/>
        </w:rPr>
      </w:pPr>
      <w:r>
        <w:rPr>
          <w:rFonts w:hint="eastAsia"/>
          <w:sz w:val="24"/>
          <w:szCs w:val="24"/>
        </w:rPr>
        <w:t>4、最佳切割精度≤0.01mm。</w:t>
      </w:r>
    </w:p>
    <w:p w14:paraId="3697C8E2">
      <w:pPr>
        <w:spacing w:line="360" w:lineRule="auto"/>
        <w:rPr>
          <w:sz w:val="24"/>
          <w:szCs w:val="24"/>
        </w:rPr>
      </w:pPr>
      <w:r>
        <w:rPr>
          <w:rFonts w:hint="eastAsia"/>
          <w:sz w:val="24"/>
          <w:szCs w:val="24"/>
        </w:rPr>
        <w:t>5、最大切割效率不小于120mm²/min。</w:t>
      </w:r>
    </w:p>
    <w:p w14:paraId="1691260F">
      <w:pPr>
        <w:spacing w:line="360" w:lineRule="auto"/>
        <w:rPr>
          <w:sz w:val="24"/>
          <w:szCs w:val="24"/>
        </w:rPr>
      </w:pPr>
      <w:r>
        <w:rPr>
          <w:rFonts w:hint="eastAsia"/>
          <w:sz w:val="24"/>
          <w:szCs w:val="24"/>
        </w:rPr>
        <w:t>6、具有恒张力控制的走丝机构。</w:t>
      </w:r>
    </w:p>
    <w:p w14:paraId="373EA5BE">
      <w:pPr>
        <w:spacing w:line="360" w:lineRule="auto"/>
        <w:rPr>
          <w:sz w:val="24"/>
          <w:szCs w:val="24"/>
        </w:rPr>
      </w:pPr>
      <w:r>
        <w:rPr>
          <w:rFonts w:hint="eastAsia"/>
          <w:sz w:val="24"/>
          <w:szCs w:val="24"/>
        </w:rPr>
        <w:t>7、电极丝直径φ0.12—0.20 mm。</w:t>
      </w:r>
    </w:p>
    <w:p w14:paraId="7D3F4294">
      <w:pPr>
        <w:spacing w:line="360" w:lineRule="auto"/>
        <w:rPr>
          <w:sz w:val="24"/>
          <w:szCs w:val="24"/>
        </w:rPr>
      </w:pPr>
      <w:r>
        <w:rPr>
          <w:rFonts w:hint="eastAsia"/>
          <w:sz w:val="24"/>
          <w:szCs w:val="24"/>
        </w:rPr>
        <w:t>8、走丝速度可变频调速。</w:t>
      </w:r>
    </w:p>
    <w:p w14:paraId="7A3CFA06">
      <w:pPr>
        <w:spacing w:line="360" w:lineRule="auto"/>
        <w:rPr>
          <w:sz w:val="24"/>
          <w:szCs w:val="24"/>
        </w:rPr>
      </w:pPr>
      <w:r>
        <w:rPr>
          <w:rFonts w:hint="eastAsia"/>
          <w:sz w:val="24"/>
          <w:szCs w:val="24"/>
        </w:rPr>
        <w:t>9、支持加工图形显示和绘制编辑，图形自动编程加工，支持ISO代码程序；具有加工进程实时跟踪，错误信息提示功能。</w:t>
      </w:r>
    </w:p>
    <w:p w14:paraId="543B8C03">
      <w:pPr>
        <w:spacing w:line="360" w:lineRule="auto"/>
        <w:rPr>
          <w:sz w:val="24"/>
          <w:szCs w:val="24"/>
        </w:rPr>
      </w:pPr>
      <w:r>
        <w:rPr>
          <w:rFonts w:hint="eastAsia"/>
          <w:sz w:val="24"/>
          <w:szCs w:val="24"/>
        </w:rPr>
        <w:t>10、配备必要的夹具、防护罩等基础机床附件以及钼丝校正器、上丝轮等专用工具；提供设备安装调试期间及终验收前所需的钼丝用量。</w:t>
      </w:r>
    </w:p>
    <w:p w14:paraId="6735F026">
      <w:pPr>
        <w:jc w:val="center"/>
        <w:rPr>
          <w:b/>
          <w:bCs/>
          <w:sz w:val="28"/>
          <w:szCs w:val="28"/>
        </w:rPr>
      </w:pPr>
      <w:r>
        <w:rPr>
          <w:rFonts w:hint="eastAsia"/>
          <w:b/>
          <w:bCs/>
          <w:sz w:val="28"/>
          <w:szCs w:val="28"/>
        </w:rPr>
        <w:t>第三章  供货范围及供货方式</w:t>
      </w:r>
    </w:p>
    <w:p w14:paraId="4D08E1FB">
      <w:pPr>
        <w:spacing w:before="120" w:after="120" w:line="360" w:lineRule="auto"/>
        <w:jc w:val="center"/>
        <w:rPr>
          <w:rFonts w:ascii="黑体" w:hAnsi="黑体" w:eastAsia="黑体" w:cs="黑体"/>
          <w:sz w:val="24"/>
          <w:szCs w:val="24"/>
        </w:rPr>
      </w:pPr>
      <w:r>
        <w:rPr>
          <w:rFonts w:hint="eastAsia" w:ascii="黑体" w:hAnsi="黑体" w:eastAsia="黑体" w:cs="黑体"/>
          <w:sz w:val="24"/>
          <w:szCs w:val="24"/>
        </w:rPr>
        <w:t>第一节  供货范围</w:t>
      </w:r>
    </w:p>
    <w:p w14:paraId="646CFBBD">
      <w:pPr>
        <w:spacing w:line="360" w:lineRule="auto"/>
        <w:rPr>
          <w:rFonts w:ascii="黑体" w:hAnsi="黑体" w:eastAsia="黑体" w:cs="黑体"/>
          <w:sz w:val="24"/>
          <w:szCs w:val="24"/>
        </w:rPr>
      </w:pPr>
      <w:r>
        <w:rPr>
          <w:rFonts w:hint="eastAsia" w:ascii="黑体" w:hAnsi="黑体" w:eastAsia="黑体" w:cs="黑体"/>
          <w:sz w:val="24"/>
          <w:szCs w:val="24"/>
        </w:rPr>
        <w:t>一、供货范围</w:t>
      </w:r>
    </w:p>
    <w:tbl>
      <w:tblPr>
        <w:tblStyle w:val="3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51"/>
        <w:gridCol w:w="913"/>
        <w:gridCol w:w="6838"/>
        <w:gridCol w:w="709"/>
      </w:tblGrid>
      <w:tr w14:paraId="2CBAE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357" w:type="pct"/>
            <w:vAlign w:val="center"/>
          </w:tcPr>
          <w:p w14:paraId="1DFC6293">
            <w:pPr>
              <w:jc w:val="center"/>
              <w:rPr>
                <w:b/>
                <w:bCs/>
                <w:sz w:val="24"/>
                <w:szCs w:val="24"/>
              </w:rPr>
            </w:pPr>
            <w:r>
              <w:rPr>
                <w:rFonts w:hint="eastAsia"/>
                <w:b/>
                <w:bCs/>
                <w:sz w:val="24"/>
                <w:szCs w:val="24"/>
              </w:rPr>
              <w:t>序号</w:t>
            </w:r>
          </w:p>
        </w:tc>
        <w:tc>
          <w:tcPr>
            <w:tcW w:w="501" w:type="pct"/>
            <w:vAlign w:val="center"/>
          </w:tcPr>
          <w:p w14:paraId="44476ED2">
            <w:pPr>
              <w:jc w:val="center"/>
              <w:rPr>
                <w:b/>
                <w:bCs/>
                <w:sz w:val="24"/>
                <w:szCs w:val="24"/>
              </w:rPr>
            </w:pPr>
            <w:r>
              <w:rPr>
                <w:rFonts w:hint="eastAsia"/>
                <w:b/>
                <w:bCs/>
                <w:sz w:val="24"/>
                <w:szCs w:val="24"/>
              </w:rPr>
              <w:t>名称</w:t>
            </w:r>
          </w:p>
        </w:tc>
        <w:tc>
          <w:tcPr>
            <w:tcW w:w="3752" w:type="pct"/>
            <w:vAlign w:val="center"/>
          </w:tcPr>
          <w:p w14:paraId="7BC091A9">
            <w:pPr>
              <w:jc w:val="center"/>
              <w:rPr>
                <w:b/>
                <w:bCs/>
                <w:sz w:val="24"/>
                <w:szCs w:val="24"/>
              </w:rPr>
            </w:pPr>
            <w:r>
              <w:rPr>
                <w:rFonts w:hint="eastAsia" w:ascii="宋体" w:hAnsi="宋体" w:eastAsia="宋体" w:cs="宋体"/>
                <w:b/>
                <w:bCs/>
                <w:color w:val="000000" w:themeColor="text1"/>
                <w:sz w:val="24"/>
                <w:szCs w:val="24"/>
                <w14:textFill>
                  <w14:solidFill>
                    <w14:schemeClr w14:val="tx1"/>
                  </w14:solidFill>
                </w14:textFill>
              </w:rPr>
              <w:t>内容</w:t>
            </w:r>
          </w:p>
        </w:tc>
        <w:tc>
          <w:tcPr>
            <w:tcW w:w="389" w:type="pct"/>
            <w:vAlign w:val="center"/>
          </w:tcPr>
          <w:p w14:paraId="48623D6D">
            <w:pPr>
              <w:jc w:val="center"/>
              <w:rPr>
                <w:b/>
                <w:bCs/>
                <w:sz w:val="24"/>
                <w:szCs w:val="24"/>
              </w:rPr>
            </w:pPr>
            <w:r>
              <w:rPr>
                <w:rFonts w:hint="eastAsia"/>
                <w:b/>
                <w:bCs/>
                <w:sz w:val="24"/>
                <w:szCs w:val="24"/>
              </w:rPr>
              <w:t>数量</w:t>
            </w:r>
          </w:p>
        </w:tc>
      </w:tr>
      <w:tr w14:paraId="51E20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357" w:type="pct"/>
            <w:vAlign w:val="center"/>
          </w:tcPr>
          <w:p w14:paraId="50DA5B3C">
            <w:pPr>
              <w:jc w:val="center"/>
              <w:rPr>
                <w:szCs w:val="21"/>
              </w:rPr>
            </w:pPr>
            <w:r>
              <w:rPr>
                <w:rFonts w:hint="eastAsia"/>
                <w:szCs w:val="21"/>
              </w:rPr>
              <w:t>1</w:t>
            </w:r>
          </w:p>
        </w:tc>
        <w:tc>
          <w:tcPr>
            <w:tcW w:w="501" w:type="pct"/>
            <w:vAlign w:val="center"/>
          </w:tcPr>
          <w:p w14:paraId="4A8A775B">
            <w:pPr>
              <w:jc w:val="center"/>
              <w:rPr>
                <w:szCs w:val="21"/>
              </w:rPr>
            </w:pPr>
            <w:r>
              <w:rPr>
                <w:rFonts w:hint="eastAsia"/>
                <w:szCs w:val="21"/>
              </w:rPr>
              <w:t>中走丝线切割机床</w:t>
            </w:r>
          </w:p>
        </w:tc>
        <w:tc>
          <w:tcPr>
            <w:tcW w:w="3752" w:type="pct"/>
            <w:vAlign w:val="center"/>
          </w:tcPr>
          <w:p w14:paraId="20E5D1C2">
            <w:pPr>
              <w:rPr>
                <w:szCs w:val="21"/>
              </w:rPr>
            </w:pPr>
            <w:r>
              <w:rPr>
                <w:rFonts w:hint="eastAsia"/>
                <w:szCs w:val="21"/>
              </w:rPr>
              <w:t>机床主体、控制柜、工作台、运丝系统、冷却润滑系统、控制系统（含显示器、键盘、鼠标）、安全防护装置、夹具、钼丝校正器、上丝轮</w:t>
            </w:r>
          </w:p>
        </w:tc>
        <w:tc>
          <w:tcPr>
            <w:tcW w:w="389" w:type="pct"/>
            <w:vAlign w:val="center"/>
          </w:tcPr>
          <w:p w14:paraId="13F05A57">
            <w:pPr>
              <w:rPr>
                <w:sz w:val="24"/>
                <w:szCs w:val="24"/>
              </w:rPr>
            </w:pPr>
            <w:r>
              <w:rPr>
                <w:rFonts w:hint="eastAsia"/>
                <w:sz w:val="24"/>
                <w:szCs w:val="24"/>
              </w:rPr>
              <w:t>1</w:t>
            </w:r>
          </w:p>
        </w:tc>
      </w:tr>
      <w:tr w14:paraId="5C1B0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357" w:type="pct"/>
            <w:vAlign w:val="center"/>
          </w:tcPr>
          <w:p w14:paraId="7298B758">
            <w:pPr>
              <w:jc w:val="center"/>
              <w:rPr>
                <w:szCs w:val="21"/>
              </w:rPr>
            </w:pPr>
            <w:r>
              <w:rPr>
                <w:rFonts w:hint="eastAsia"/>
                <w:szCs w:val="21"/>
              </w:rPr>
              <w:t>2</w:t>
            </w:r>
          </w:p>
        </w:tc>
        <w:tc>
          <w:tcPr>
            <w:tcW w:w="501" w:type="pct"/>
            <w:vAlign w:val="center"/>
          </w:tcPr>
          <w:p w14:paraId="60F587C2">
            <w:pPr>
              <w:jc w:val="center"/>
              <w:rPr>
                <w:szCs w:val="21"/>
              </w:rPr>
            </w:pPr>
            <w:r>
              <w:rPr>
                <w:rFonts w:hint="eastAsia"/>
                <w:szCs w:val="21"/>
              </w:rPr>
              <w:t>耗材</w:t>
            </w:r>
          </w:p>
        </w:tc>
        <w:tc>
          <w:tcPr>
            <w:tcW w:w="3752" w:type="pct"/>
            <w:vAlign w:val="center"/>
          </w:tcPr>
          <w:p w14:paraId="3070574E">
            <w:pPr>
              <w:rPr>
                <w:szCs w:val="21"/>
              </w:rPr>
            </w:pPr>
            <w:r>
              <w:rPr>
                <w:rFonts w:hint="eastAsia"/>
                <w:szCs w:val="21"/>
              </w:rPr>
              <w:t>钼丝</w:t>
            </w:r>
          </w:p>
        </w:tc>
        <w:tc>
          <w:tcPr>
            <w:tcW w:w="389" w:type="pct"/>
            <w:vAlign w:val="center"/>
          </w:tcPr>
          <w:p w14:paraId="114A4647">
            <w:pPr>
              <w:rPr>
                <w:sz w:val="24"/>
                <w:szCs w:val="24"/>
              </w:rPr>
            </w:pPr>
            <w:r>
              <w:rPr>
                <w:rFonts w:hint="eastAsia"/>
                <w:sz w:val="24"/>
                <w:szCs w:val="24"/>
              </w:rPr>
              <w:t>1</w:t>
            </w:r>
          </w:p>
        </w:tc>
      </w:tr>
      <w:tr w14:paraId="44947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357" w:type="pct"/>
            <w:vAlign w:val="center"/>
          </w:tcPr>
          <w:p w14:paraId="4F7195C3">
            <w:pPr>
              <w:jc w:val="center"/>
              <w:rPr>
                <w:szCs w:val="21"/>
              </w:rPr>
            </w:pPr>
            <w:r>
              <w:rPr>
                <w:rFonts w:hint="eastAsia"/>
                <w:szCs w:val="21"/>
              </w:rPr>
              <w:t>3</w:t>
            </w:r>
          </w:p>
        </w:tc>
        <w:tc>
          <w:tcPr>
            <w:tcW w:w="501" w:type="pct"/>
            <w:vAlign w:val="center"/>
          </w:tcPr>
          <w:p w14:paraId="1707568F">
            <w:pPr>
              <w:jc w:val="center"/>
              <w:rPr>
                <w:szCs w:val="21"/>
              </w:rPr>
            </w:pPr>
            <w:r>
              <w:rPr>
                <w:rFonts w:hint="eastAsia"/>
                <w:szCs w:val="21"/>
              </w:rPr>
              <w:t>安装、调试</w:t>
            </w:r>
          </w:p>
        </w:tc>
        <w:tc>
          <w:tcPr>
            <w:tcW w:w="3752" w:type="pct"/>
            <w:vAlign w:val="center"/>
          </w:tcPr>
          <w:p w14:paraId="17C83E23">
            <w:pPr>
              <w:rPr>
                <w:szCs w:val="21"/>
              </w:rPr>
            </w:pPr>
            <w:r>
              <w:rPr>
                <w:rFonts w:hint="eastAsia"/>
                <w:szCs w:val="21"/>
              </w:rPr>
              <w:t>卖方负责安装、调试工作</w:t>
            </w:r>
          </w:p>
        </w:tc>
        <w:tc>
          <w:tcPr>
            <w:tcW w:w="389" w:type="pct"/>
            <w:vAlign w:val="center"/>
          </w:tcPr>
          <w:p w14:paraId="74A1008A">
            <w:pPr>
              <w:rPr>
                <w:sz w:val="24"/>
                <w:szCs w:val="24"/>
              </w:rPr>
            </w:pPr>
            <w:r>
              <w:rPr>
                <w:rFonts w:hint="eastAsia"/>
                <w:sz w:val="24"/>
                <w:szCs w:val="24"/>
              </w:rPr>
              <w:t>1</w:t>
            </w:r>
          </w:p>
        </w:tc>
      </w:tr>
      <w:tr w14:paraId="104B1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357" w:type="pct"/>
            <w:vAlign w:val="center"/>
          </w:tcPr>
          <w:p w14:paraId="4ECBB300">
            <w:pPr>
              <w:jc w:val="center"/>
              <w:rPr>
                <w:szCs w:val="21"/>
              </w:rPr>
            </w:pPr>
            <w:r>
              <w:rPr>
                <w:rFonts w:hint="eastAsia"/>
                <w:szCs w:val="21"/>
              </w:rPr>
              <w:t>4</w:t>
            </w:r>
          </w:p>
        </w:tc>
        <w:tc>
          <w:tcPr>
            <w:tcW w:w="501" w:type="pct"/>
            <w:vAlign w:val="center"/>
          </w:tcPr>
          <w:p w14:paraId="12357B81">
            <w:pPr>
              <w:jc w:val="center"/>
              <w:rPr>
                <w:szCs w:val="21"/>
              </w:rPr>
            </w:pPr>
            <w:r>
              <w:rPr>
                <w:rFonts w:hint="eastAsia"/>
                <w:szCs w:val="21"/>
              </w:rPr>
              <w:t>培训</w:t>
            </w:r>
          </w:p>
        </w:tc>
        <w:tc>
          <w:tcPr>
            <w:tcW w:w="3752" w:type="pct"/>
            <w:vAlign w:val="center"/>
          </w:tcPr>
          <w:p w14:paraId="32C62760">
            <w:pPr>
              <w:rPr>
                <w:szCs w:val="21"/>
              </w:rPr>
            </w:pPr>
            <w:r>
              <w:rPr>
                <w:rFonts w:hint="eastAsia"/>
                <w:szCs w:val="21"/>
              </w:rPr>
              <w:t>负责对买方操作、维修人员进行培训</w:t>
            </w:r>
          </w:p>
        </w:tc>
        <w:tc>
          <w:tcPr>
            <w:tcW w:w="389" w:type="pct"/>
            <w:vAlign w:val="center"/>
          </w:tcPr>
          <w:p w14:paraId="1E711FD5">
            <w:pPr>
              <w:rPr>
                <w:sz w:val="24"/>
                <w:szCs w:val="24"/>
              </w:rPr>
            </w:pPr>
            <w:r>
              <w:rPr>
                <w:rFonts w:hint="eastAsia"/>
                <w:sz w:val="24"/>
                <w:szCs w:val="24"/>
              </w:rPr>
              <w:t>1</w:t>
            </w:r>
          </w:p>
        </w:tc>
      </w:tr>
    </w:tbl>
    <w:p w14:paraId="25F0D5C9">
      <w:pPr>
        <w:spacing w:line="360" w:lineRule="auto"/>
        <w:rPr>
          <w:rFonts w:ascii="黑体" w:hAnsi="黑体" w:eastAsia="黑体" w:cs="黑体"/>
          <w:sz w:val="24"/>
          <w:szCs w:val="24"/>
        </w:rPr>
      </w:pPr>
      <w:r>
        <w:rPr>
          <w:rFonts w:hint="eastAsia" w:ascii="黑体" w:hAnsi="黑体" w:eastAsia="黑体" w:cs="黑体"/>
          <w:sz w:val="24"/>
          <w:szCs w:val="24"/>
        </w:rPr>
        <w:t>二、一般界定</w:t>
      </w:r>
    </w:p>
    <w:p w14:paraId="02CB8EAA">
      <w:pPr>
        <w:spacing w:line="360" w:lineRule="auto"/>
        <w:rPr>
          <w:sz w:val="24"/>
          <w:szCs w:val="24"/>
        </w:rPr>
      </w:pPr>
      <w:r>
        <w:rPr>
          <w:rFonts w:hint="eastAsia"/>
          <w:sz w:val="24"/>
          <w:szCs w:val="24"/>
        </w:rPr>
        <w:t>1、供货范围包括本技术标书“采购货物概况” 所列及所要求的货物。</w:t>
      </w:r>
    </w:p>
    <w:p w14:paraId="229C9EBF">
      <w:pPr>
        <w:spacing w:line="360" w:lineRule="auto"/>
        <w:rPr>
          <w:sz w:val="24"/>
          <w:szCs w:val="24"/>
        </w:rPr>
      </w:pPr>
      <w:r>
        <w:rPr>
          <w:rFonts w:hint="eastAsia"/>
          <w:sz w:val="24"/>
          <w:szCs w:val="24"/>
        </w:rPr>
        <w:t>2、供货范围包括为保证货物（或生产线）正常安装、调试和验收完成及以前所必需的整套配件、附件及材料、油料、控制软件及程序或指令等。</w:t>
      </w:r>
    </w:p>
    <w:p w14:paraId="2863476F">
      <w:pPr>
        <w:spacing w:line="360" w:lineRule="auto"/>
        <w:rPr>
          <w:sz w:val="24"/>
          <w:szCs w:val="24"/>
        </w:rPr>
      </w:pPr>
      <w:r>
        <w:rPr>
          <w:rFonts w:hint="eastAsia"/>
          <w:sz w:val="24"/>
          <w:szCs w:val="24"/>
        </w:rPr>
        <w:t>如果终验收完成后，投标方有需要收回的配件、附件、材料、油料等，应当在投标档的技术偏离条款中，予以详细说明；否则视同包括在供货范围之内。</w:t>
      </w:r>
    </w:p>
    <w:p w14:paraId="36A8005C">
      <w:pPr>
        <w:spacing w:line="360" w:lineRule="auto"/>
        <w:rPr>
          <w:sz w:val="24"/>
          <w:szCs w:val="24"/>
        </w:rPr>
      </w:pPr>
      <w:r>
        <w:rPr>
          <w:rFonts w:hint="eastAsia"/>
          <w:sz w:val="24"/>
          <w:szCs w:val="24"/>
        </w:rPr>
        <w:t>3、供货范围包括货物（或生产线）维护维修所必需的专用工具。</w:t>
      </w:r>
    </w:p>
    <w:p w14:paraId="48523B70">
      <w:pPr>
        <w:spacing w:line="360" w:lineRule="auto"/>
        <w:rPr>
          <w:sz w:val="24"/>
          <w:szCs w:val="24"/>
        </w:rPr>
      </w:pPr>
      <w:r>
        <w:rPr>
          <w:rFonts w:hint="eastAsia"/>
          <w:sz w:val="24"/>
          <w:szCs w:val="24"/>
        </w:rPr>
        <w:t>4、供货范围包括货物（或生产线）为达到产品标准以及环保、消防和劳动安全卫生等国家法律、法规和标准、规范要求而配备但标书未明确提出的除尘系统、通风系统、近距离照明系统以及劳动安全防护设施（不包括人体防护用品）等使用现场配套的设备、材料等。</w:t>
      </w:r>
    </w:p>
    <w:p w14:paraId="1FB1A5A1">
      <w:pPr>
        <w:spacing w:line="360" w:lineRule="auto"/>
        <w:rPr>
          <w:sz w:val="24"/>
          <w:szCs w:val="24"/>
        </w:rPr>
      </w:pPr>
      <w:r>
        <w:rPr>
          <w:rFonts w:hint="eastAsia"/>
          <w:sz w:val="24"/>
          <w:szCs w:val="24"/>
        </w:rPr>
        <w:t>如投标方难以提供或无优势提供以及属于选用配置的，则应当在投标档的技术偏离条款中，予以详细说明并注明投标报价未包含该部分的货值。</w:t>
      </w:r>
    </w:p>
    <w:p w14:paraId="788A584A">
      <w:pPr>
        <w:spacing w:line="360" w:lineRule="auto"/>
        <w:rPr>
          <w:sz w:val="24"/>
          <w:szCs w:val="24"/>
        </w:rPr>
      </w:pPr>
      <w:r>
        <w:rPr>
          <w:rFonts w:hint="eastAsia"/>
          <w:sz w:val="24"/>
          <w:szCs w:val="24"/>
        </w:rPr>
        <w:t>5、供货范围包括为保证货物（或生产线）自身正常运行所必需的、满足使用地点环境条件的通风、冷却、降温等必需设施。</w:t>
      </w:r>
    </w:p>
    <w:p w14:paraId="02ADA376">
      <w:pPr>
        <w:spacing w:line="360" w:lineRule="auto"/>
        <w:rPr>
          <w:sz w:val="24"/>
          <w:szCs w:val="24"/>
        </w:rPr>
      </w:pPr>
      <w:r>
        <w:rPr>
          <w:rFonts w:hint="eastAsia"/>
          <w:sz w:val="24"/>
          <w:szCs w:val="24"/>
        </w:rPr>
        <w:t>6、以“交钥匙”方式采购的货物，在满足技术标书本节上述要求之外，供货范围还包括如下界定（货物）：</w:t>
      </w:r>
    </w:p>
    <w:p w14:paraId="2C355E23">
      <w:pPr>
        <w:spacing w:line="360" w:lineRule="auto"/>
        <w:rPr>
          <w:sz w:val="24"/>
          <w:szCs w:val="24"/>
        </w:rPr>
      </w:pPr>
      <w:r>
        <w:rPr>
          <w:rFonts w:hint="eastAsia"/>
          <w:sz w:val="24"/>
          <w:szCs w:val="24"/>
        </w:rPr>
        <w:t>① 招标方只提供货物（或生产线）所需的厂房以及砼基础（基础不含预埋螺栓、螺母及垫片）；只提供符合本技术标书中“采购货物概况”和“使用环境”章节所列明质量的电力、自来水、压缩空气、蒸汽、天然气（或煤气）管线至系统界面，如：系统电力界面的接线端，水、气、汽等外围管线端联接法兰外端面。投标方负责货物拆箱、货物到厂房的吊装、就位；</w:t>
      </w:r>
    </w:p>
    <w:p w14:paraId="735C0BBE">
      <w:pPr>
        <w:spacing w:line="360" w:lineRule="auto"/>
        <w:rPr>
          <w:sz w:val="24"/>
          <w:szCs w:val="24"/>
        </w:rPr>
      </w:pPr>
      <w:r>
        <w:rPr>
          <w:rFonts w:hint="eastAsia"/>
          <w:sz w:val="24"/>
          <w:szCs w:val="24"/>
        </w:rPr>
        <w:t>② 供货范围包括货物（或生产线）正常运行所必需的全套连线设备、材料等。如货物端联接法兰外端面之内的、电气系统界面压线板（插座等）之内的设备、材料、联接螺栓、垫片等。</w:t>
      </w:r>
    </w:p>
    <w:p w14:paraId="34C6B01D">
      <w:pPr>
        <w:spacing w:line="360" w:lineRule="auto"/>
        <w:rPr>
          <w:sz w:val="24"/>
          <w:szCs w:val="24"/>
        </w:rPr>
      </w:pPr>
      <w:r>
        <w:rPr>
          <w:rFonts w:hint="eastAsia"/>
          <w:sz w:val="24"/>
          <w:szCs w:val="24"/>
        </w:rPr>
        <w:t>③ 供货范围包括货物（或生产线）正常运行、使用所需要的过桥、护栏、防护网、盖板等辅助设施。</w:t>
      </w:r>
    </w:p>
    <w:p w14:paraId="3F97BE56">
      <w:pPr>
        <w:spacing w:line="360" w:lineRule="auto"/>
        <w:rPr>
          <w:rFonts w:ascii="Times New Roman" w:hAnsi="Times New Roman" w:cs="Times New Roman"/>
          <w:color w:val="000000"/>
          <w:sz w:val="24"/>
          <w:szCs w:val="24"/>
        </w:rPr>
      </w:pPr>
      <w:r>
        <w:rPr>
          <w:rFonts w:hint="eastAsia"/>
          <w:sz w:val="24"/>
          <w:szCs w:val="24"/>
        </w:rPr>
        <w:t>④ 供货范围包括招标档中无明确具体要求而投标方认为具备的其他货物。但是，在投标档报价明细中，该部分货物单独报价（该报价含运杂费及税费等其他费用，而且不再作为其他报价涉及的其他费用的计算基数）</w:t>
      </w:r>
      <w:r>
        <w:rPr>
          <w:rFonts w:hint="eastAsia" w:ascii="Times New Roman" w:hAnsi="Times New Roman" w:cs="Times New Roman"/>
          <w:color w:val="000000"/>
          <w:sz w:val="24"/>
          <w:szCs w:val="24"/>
        </w:rPr>
        <w:t>。</w:t>
      </w:r>
    </w:p>
    <w:p w14:paraId="078FF703">
      <w:pPr>
        <w:spacing w:line="360" w:lineRule="auto"/>
        <w:rPr>
          <w:rFonts w:ascii="黑体" w:hAnsi="黑体" w:eastAsia="黑体" w:cs="黑体"/>
          <w:sz w:val="24"/>
          <w:szCs w:val="24"/>
        </w:rPr>
      </w:pPr>
      <w:r>
        <w:rPr>
          <w:rFonts w:hint="eastAsia" w:ascii="黑体" w:hAnsi="黑体" w:eastAsia="黑体" w:cs="黑体"/>
          <w:sz w:val="24"/>
          <w:szCs w:val="24"/>
        </w:rPr>
        <w:t>三、备品备件、易损件和专用耗材供货范围</w:t>
      </w:r>
    </w:p>
    <w:p w14:paraId="7B7537CB">
      <w:pPr>
        <w:spacing w:line="360" w:lineRule="auto"/>
        <w:rPr>
          <w:sz w:val="24"/>
          <w:szCs w:val="24"/>
        </w:rPr>
      </w:pPr>
      <w:r>
        <w:rPr>
          <w:rFonts w:hint="eastAsia"/>
          <w:sz w:val="24"/>
          <w:szCs w:val="24"/>
        </w:rPr>
        <w:t>1、招标方招标档所指备品备件、易损件和专用耗材，是招标方为保证设备终验收前正常运行所用的备品备件、易损件和专用耗材；</w:t>
      </w:r>
    </w:p>
    <w:p w14:paraId="3EA2CFCC">
      <w:pPr>
        <w:spacing w:line="360" w:lineRule="auto"/>
        <w:rPr>
          <w:sz w:val="24"/>
          <w:szCs w:val="24"/>
        </w:rPr>
      </w:pPr>
      <w:r>
        <w:rPr>
          <w:rFonts w:hint="eastAsia"/>
          <w:sz w:val="24"/>
          <w:szCs w:val="24"/>
        </w:rPr>
        <w:t>2、投标方应提供设备维修所必需的专用工具，并附详细清单（包括名称、型号、规格、单位、数量、生产厂家、单价、总价等条目）；</w:t>
      </w:r>
    </w:p>
    <w:p w14:paraId="4419178A">
      <w:pPr>
        <w:spacing w:line="360" w:lineRule="auto"/>
        <w:rPr>
          <w:sz w:val="24"/>
          <w:szCs w:val="24"/>
        </w:rPr>
      </w:pPr>
      <w:r>
        <w:rPr>
          <w:rFonts w:hint="eastAsia"/>
          <w:sz w:val="24"/>
          <w:szCs w:val="24"/>
        </w:rPr>
        <w:t>3、投标方应提供易损件和专用耗材的制造图纸及其技术要求等资料；</w:t>
      </w:r>
    </w:p>
    <w:p w14:paraId="3A406A46">
      <w:pPr>
        <w:spacing w:line="360" w:lineRule="auto"/>
        <w:rPr>
          <w:sz w:val="24"/>
          <w:szCs w:val="24"/>
        </w:rPr>
      </w:pPr>
      <w:r>
        <w:rPr>
          <w:sz w:val="24"/>
          <w:szCs w:val="24"/>
        </w:rPr>
        <w:t>4</w:t>
      </w:r>
      <w:r>
        <w:rPr>
          <w:rFonts w:hint="eastAsia"/>
          <w:sz w:val="24"/>
          <w:szCs w:val="24"/>
        </w:rPr>
        <w:t>、备品备件、易损件和专用耗材，其费用应分类单列，并计入投标总报价之内。</w:t>
      </w:r>
    </w:p>
    <w:p w14:paraId="431C47FD">
      <w:pPr>
        <w:spacing w:line="360" w:lineRule="auto"/>
        <w:rPr>
          <w:rFonts w:ascii="黑体" w:hAnsi="黑体" w:eastAsia="黑体" w:cs="黑体"/>
          <w:sz w:val="24"/>
          <w:szCs w:val="24"/>
        </w:rPr>
      </w:pPr>
      <w:r>
        <w:rPr>
          <w:rFonts w:hint="eastAsia" w:ascii="黑体" w:hAnsi="黑体" w:eastAsia="黑体" w:cs="黑体"/>
          <w:sz w:val="24"/>
          <w:szCs w:val="24"/>
        </w:rPr>
        <w:t>四、技术资料供货范围</w:t>
      </w:r>
    </w:p>
    <w:p w14:paraId="15CA33D1">
      <w:pPr>
        <w:spacing w:line="360" w:lineRule="auto"/>
        <w:rPr>
          <w:sz w:val="24"/>
          <w:szCs w:val="24"/>
        </w:rPr>
      </w:pPr>
      <w:r>
        <w:rPr>
          <w:rFonts w:hint="eastAsia"/>
          <w:sz w:val="24"/>
          <w:szCs w:val="24"/>
        </w:rPr>
        <w:t>1、在终验收前，提供确定的维修所需要且招标方可以自行采购的外购件、外协件、电气元件及主要原材料的供货厂家明细表。</w:t>
      </w:r>
    </w:p>
    <w:p w14:paraId="2B847690">
      <w:pPr>
        <w:spacing w:line="360" w:lineRule="auto"/>
        <w:rPr>
          <w:sz w:val="24"/>
          <w:szCs w:val="24"/>
        </w:rPr>
      </w:pPr>
      <w:r>
        <w:rPr>
          <w:rFonts w:hint="eastAsia"/>
          <w:sz w:val="24"/>
          <w:szCs w:val="24"/>
        </w:rPr>
        <w:t>2、在终验收后、终验收后的第一笔货款支付日之前，提供包括货物的备品备件、易损件和专用耗材的图纸及技术参数、技术要求等资料。</w:t>
      </w:r>
    </w:p>
    <w:p w14:paraId="737E971D">
      <w:pPr>
        <w:spacing w:line="360" w:lineRule="auto"/>
        <w:rPr>
          <w:sz w:val="24"/>
          <w:szCs w:val="24"/>
        </w:rPr>
      </w:pPr>
      <w:r>
        <w:rPr>
          <w:rFonts w:hint="eastAsia"/>
          <w:sz w:val="24"/>
          <w:szCs w:val="24"/>
        </w:rPr>
        <w:t>3、在终验收后、终验收后的第一笔货款支付日之前，提供关于采购货物的使用说明书、合格证等技术资料。</w:t>
      </w:r>
    </w:p>
    <w:p w14:paraId="6E29B52D">
      <w:pPr>
        <w:spacing w:line="360" w:lineRule="auto"/>
        <w:rPr>
          <w:sz w:val="24"/>
          <w:szCs w:val="24"/>
        </w:rPr>
      </w:pPr>
      <w:r>
        <w:rPr>
          <w:rFonts w:hint="eastAsia"/>
          <w:sz w:val="24"/>
          <w:szCs w:val="24"/>
        </w:rPr>
        <w:t>4、在终验收后、终验收后的第一笔货款支付日之前，提供关于采购货物（或生产线）的电气资料（包括接线图、原理图、布线图、梯形图等）。</w:t>
      </w:r>
    </w:p>
    <w:p w14:paraId="48BCDAB0">
      <w:pPr>
        <w:spacing w:line="360" w:lineRule="auto"/>
        <w:rPr>
          <w:sz w:val="24"/>
          <w:szCs w:val="24"/>
        </w:rPr>
      </w:pPr>
      <w:r>
        <w:rPr>
          <w:rFonts w:hint="eastAsia"/>
          <w:sz w:val="24"/>
          <w:szCs w:val="24"/>
        </w:rPr>
        <w:t>5、本条款所列的技术资料、图片等，投标方应各</w:t>
      </w:r>
      <w:r>
        <w:rPr>
          <w:rFonts w:hint="eastAsia"/>
          <w:color w:val="000000"/>
          <w:sz w:val="24"/>
          <w:szCs w:val="24"/>
        </w:rPr>
        <w:t>提供2套，其中1套</w:t>
      </w:r>
      <w:r>
        <w:rPr>
          <w:rFonts w:hint="eastAsia"/>
          <w:sz w:val="24"/>
          <w:szCs w:val="24"/>
        </w:rPr>
        <w:t>为电子版；每份技术档应装有目录清单，电子版及纸板内容编排一致，方便查阅。</w:t>
      </w:r>
    </w:p>
    <w:p w14:paraId="2CCF407E">
      <w:pPr>
        <w:spacing w:line="360" w:lineRule="auto"/>
        <w:rPr>
          <w:rFonts w:ascii="Times New Roman" w:hAnsi="Times New Roman" w:cs="Times New Roman"/>
          <w:color w:val="000000"/>
          <w:sz w:val="24"/>
          <w:szCs w:val="24"/>
        </w:rPr>
      </w:pPr>
      <w:r>
        <w:rPr>
          <w:rFonts w:hint="eastAsia"/>
          <w:sz w:val="24"/>
          <w:szCs w:val="24"/>
        </w:rPr>
        <w:t>6、本条款所列要求，如招标方认为投标方提供的资料不能满足要求时，有权要求投标方免费补充或增加。</w:t>
      </w:r>
    </w:p>
    <w:p w14:paraId="52054302">
      <w:pPr>
        <w:spacing w:line="360" w:lineRule="auto"/>
        <w:rPr>
          <w:rFonts w:ascii="黑体" w:hAnsi="黑体" w:eastAsia="黑体" w:cs="黑体"/>
          <w:sz w:val="24"/>
          <w:szCs w:val="24"/>
        </w:rPr>
      </w:pPr>
      <w:r>
        <w:rPr>
          <w:rFonts w:hint="eastAsia" w:ascii="黑体" w:hAnsi="黑体" w:eastAsia="黑体" w:cs="黑体"/>
          <w:sz w:val="24"/>
          <w:szCs w:val="24"/>
        </w:rPr>
        <w:t>五、供货范围特别提示</w:t>
      </w:r>
    </w:p>
    <w:p w14:paraId="0F8AA532">
      <w:pPr>
        <w:spacing w:line="360" w:lineRule="auto"/>
        <w:rPr>
          <w:sz w:val="24"/>
          <w:szCs w:val="24"/>
        </w:rPr>
      </w:pPr>
      <w:r>
        <w:rPr>
          <w:sz w:val="24"/>
          <w:szCs w:val="24"/>
        </w:rPr>
        <w:t>如果投标方认为本节所列的供货范围难以满足，则仍需要按照本要求提供，但该部分货物应当在投标报价中单独列明货物名称及质量、货值。</w:t>
      </w:r>
    </w:p>
    <w:p w14:paraId="17F7696B">
      <w:pPr>
        <w:spacing w:before="120" w:after="120" w:line="360" w:lineRule="auto"/>
        <w:jc w:val="center"/>
        <w:rPr>
          <w:rFonts w:ascii="黑体" w:hAnsi="黑体" w:eastAsia="黑体" w:cs="黑体"/>
          <w:sz w:val="24"/>
          <w:szCs w:val="24"/>
        </w:rPr>
      </w:pPr>
      <w:r>
        <w:rPr>
          <w:rFonts w:hint="eastAsia" w:ascii="黑体" w:hAnsi="黑体" w:eastAsia="黑体" w:cs="黑体"/>
          <w:sz w:val="24"/>
          <w:szCs w:val="24"/>
        </w:rPr>
        <w:t>第二节  供货方式</w:t>
      </w:r>
    </w:p>
    <w:p w14:paraId="25AD4E21">
      <w:pPr>
        <w:spacing w:line="360" w:lineRule="auto"/>
        <w:rPr>
          <w:rFonts w:ascii="黑体" w:hAnsi="黑体" w:eastAsia="黑体" w:cs="黑体"/>
          <w:sz w:val="24"/>
          <w:szCs w:val="24"/>
        </w:rPr>
      </w:pPr>
      <w:r>
        <w:rPr>
          <w:rFonts w:hint="eastAsia" w:ascii="黑体" w:hAnsi="黑体" w:eastAsia="黑体" w:cs="黑体"/>
          <w:sz w:val="24"/>
          <w:szCs w:val="24"/>
        </w:rPr>
        <w:t>一、供货方式</w:t>
      </w:r>
    </w:p>
    <w:p w14:paraId="2D51058F">
      <w:pPr>
        <w:spacing w:line="360" w:lineRule="auto"/>
        <w:ind w:firstLine="420"/>
        <w:rPr>
          <w:sz w:val="24"/>
          <w:szCs w:val="24"/>
        </w:rPr>
      </w:pPr>
      <w:r>
        <w:rPr>
          <w:sz w:val="24"/>
          <w:szCs w:val="24"/>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2FB8E726">
      <w:pPr>
        <w:spacing w:line="360" w:lineRule="auto"/>
        <w:rPr>
          <w:rFonts w:ascii="黑体" w:hAnsi="黑体" w:eastAsia="黑体" w:cs="黑体"/>
          <w:sz w:val="24"/>
          <w:szCs w:val="24"/>
        </w:rPr>
      </w:pPr>
      <w:r>
        <w:rPr>
          <w:rFonts w:hint="eastAsia" w:ascii="黑体" w:hAnsi="黑体" w:eastAsia="黑体" w:cs="黑体"/>
          <w:sz w:val="24"/>
          <w:szCs w:val="24"/>
        </w:rPr>
        <w:t>二、供货地点</w:t>
      </w:r>
    </w:p>
    <w:p w14:paraId="09C06A41">
      <w:pPr>
        <w:spacing w:line="360" w:lineRule="auto"/>
        <w:rPr>
          <w:sz w:val="24"/>
          <w:szCs w:val="24"/>
        </w:rPr>
      </w:pPr>
      <w:r>
        <w:rPr>
          <w:rFonts w:hint="eastAsia"/>
          <w:sz w:val="24"/>
          <w:szCs w:val="24"/>
        </w:rPr>
        <w:t>中国重汽集团杭州发动机有限公司</w:t>
      </w:r>
      <w:r>
        <w:rPr>
          <w:sz w:val="24"/>
          <w:szCs w:val="24"/>
        </w:rPr>
        <w:t>。</w:t>
      </w:r>
    </w:p>
    <w:p w14:paraId="341A86C8">
      <w:pPr>
        <w:spacing w:line="360" w:lineRule="auto"/>
        <w:rPr>
          <w:rFonts w:ascii="黑体" w:hAnsi="黑体" w:eastAsia="黑体" w:cs="黑体"/>
          <w:sz w:val="24"/>
          <w:szCs w:val="24"/>
        </w:rPr>
      </w:pPr>
      <w:r>
        <w:rPr>
          <w:rFonts w:hint="eastAsia" w:ascii="黑体" w:hAnsi="黑体" w:eastAsia="黑体" w:cs="黑体"/>
          <w:sz w:val="24"/>
          <w:szCs w:val="24"/>
        </w:rPr>
        <w:t>三、供货时间：</w:t>
      </w:r>
    </w:p>
    <w:p w14:paraId="160C3FBF">
      <w:pPr>
        <w:spacing w:line="360" w:lineRule="auto"/>
        <w:rPr>
          <w:sz w:val="24"/>
          <w:szCs w:val="24"/>
        </w:rPr>
      </w:pPr>
      <w:r>
        <w:rPr>
          <w:rFonts w:hint="eastAsia"/>
          <w:sz w:val="24"/>
          <w:szCs w:val="24"/>
        </w:rPr>
        <w:t>自合同签定生效之日起，</w:t>
      </w:r>
      <w:r>
        <w:rPr>
          <w:rFonts w:hint="eastAsia"/>
          <w:sz w:val="24"/>
          <w:szCs w:val="24"/>
          <w:u w:val="single"/>
        </w:rPr>
        <w:t>25</w:t>
      </w:r>
      <w:r>
        <w:rPr>
          <w:rFonts w:hint="eastAsia"/>
          <w:sz w:val="24"/>
          <w:szCs w:val="24"/>
        </w:rPr>
        <w:t>个日历日之内交货至供货地点。</w:t>
      </w:r>
    </w:p>
    <w:p w14:paraId="7057D3C0">
      <w:pPr>
        <w:spacing w:line="360" w:lineRule="auto"/>
        <w:rPr>
          <w:sz w:val="24"/>
          <w:szCs w:val="24"/>
        </w:rPr>
      </w:pPr>
      <w:r>
        <w:rPr>
          <w:rFonts w:hint="eastAsia"/>
          <w:sz w:val="24"/>
          <w:szCs w:val="24"/>
        </w:rPr>
        <w:t>接续</w:t>
      </w:r>
      <w:r>
        <w:rPr>
          <w:rFonts w:hint="eastAsia"/>
          <w:sz w:val="24"/>
          <w:szCs w:val="24"/>
          <w:u w:val="single"/>
        </w:rPr>
        <w:t>10</w:t>
      </w:r>
      <w:r>
        <w:rPr>
          <w:rFonts w:hint="eastAsia"/>
          <w:sz w:val="24"/>
          <w:szCs w:val="24"/>
        </w:rPr>
        <w:t>个日历日之内安装调试完毕。</w:t>
      </w:r>
    </w:p>
    <w:p w14:paraId="0208C035">
      <w:pPr>
        <w:spacing w:line="360" w:lineRule="auto"/>
        <w:rPr>
          <w:sz w:val="24"/>
          <w:szCs w:val="24"/>
        </w:rPr>
      </w:pPr>
      <w:r>
        <w:rPr>
          <w:rFonts w:hint="eastAsia"/>
          <w:sz w:val="24"/>
          <w:szCs w:val="24"/>
        </w:rPr>
        <w:t>接续</w:t>
      </w:r>
      <w:r>
        <w:rPr>
          <w:rFonts w:hint="eastAsia"/>
          <w:sz w:val="24"/>
          <w:szCs w:val="24"/>
          <w:u w:val="single"/>
        </w:rPr>
        <w:t xml:space="preserve"> 30</w:t>
      </w:r>
      <w:r>
        <w:rPr>
          <w:rFonts w:hint="eastAsia"/>
          <w:sz w:val="24"/>
          <w:szCs w:val="24"/>
        </w:rPr>
        <w:t>个日历日之内完成终验收。</w:t>
      </w:r>
    </w:p>
    <w:p w14:paraId="26E97F55">
      <w:pPr>
        <w:spacing w:line="360" w:lineRule="auto"/>
        <w:rPr>
          <w:sz w:val="24"/>
          <w:szCs w:val="24"/>
        </w:rPr>
      </w:pPr>
      <w:r>
        <w:rPr>
          <w:rFonts w:hint="eastAsia"/>
          <w:sz w:val="24"/>
          <w:szCs w:val="24"/>
        </w:rPr>
        <w:t>安装调试工期超过规定时间的，投标人应当随标书提供详细的工期计划。</w:t>
      </w:r>
    </w:p>
    <w:p w14:paraId="6AE015BB">
      <w:pPr>
        <w:spacing w:line="360" w:lineRule="auto"/>
        <w:rPr>
          <w:rFonts w:ascii="黑体" w:hAnsi="黑体" w:eastAsia="黑体" w:cs="黑体"/>
          <w:sz w:val="24"/>
          <w:szCs w:val="24"/>
        </w:rPr>
      </w:pPr>
      <w:r>
        <w:rPr>
          <w:rFonts w:hint="eastAsia" w:ascii="黑体" w:hAnsi="黑体" w:eastAsia="黑体" w:cs="黑体"/>
          <w:sz w:val="24"/>
          <w:szCs w:val="24"/>
        </w:rPr>
        <w:t>四、包装</w:t>
      </w:r>
    </w:p>
    <w:p w14:paraId="292712E3">
      <w:pPr>
        <w:spacing w:line="360" w:lineRule="auto"/>
        <w:rPr>
          <w:sz w:val="24"/>
          <w:szCs w:val="24"/>
        </w:rPr>
      </w:pPr>
      <w:r>
        <w:rPr>
          <w:sz w:val="24"/>
          <w:szCs w:val="24"/>
        </w:rPr>
        <w:t>1、所提供货物（或设备）的包装，应遵照国家标准和有关包装、包皮的技术条件，或按照最好的商业惯例进行包装。</w:t>
      </w:r>
    </w:p>
    <w:p w14:paraId="19FEEB24">
      <w:pPr>
        <w:spacing w:line="360" w:lineRule="auto"/>
        <w:rPr>
          <w:sz w:val="24"/>
          <w:szCs w:val="24"/>
        </w:rPr>
      </w:pPr>
      <w:r>
        <w:rPr>
          <w:sz w:val="24"/>
          <w:szCs w:val="24"/>
        </w:rPr>
        <w:t>2、包装应能满足所需要采取的运输方式（船运、汽运或铁路运输）、多次吊装卸装、卸货以及长期露天堆放要求，应能防止雨淋、受潮、生锈、腐蚀、受振、受磁以及机械和化学因素等引起的损坏。</w:t>
      </w:r>
    </w:p>
    <w:p w14:paraId="6D3DEE86">
      <w:pPr>
        <w:spacing w:line="360" w:lineRule="auto"/>
        <w:rPr>
          <w:sz w:val="24"/>
          <w:szCs w:val="24"/>
        </w:rPr>
      </w:pPr>
      <w:r>
        <w:rPr>
          <w:sz w:val="24"/>
          <w:szCs w:val="24"/>
        </w:rPr>
        <w:t>3、所提供货物（或设备）的包装，应能防止其一般性被窃或受外力破坏；一般不得采用有大缝隙的板条包装。</w:t>
      </w:r>
    </w:p>
    <w:p w14:paraId="131F1627">
      <w:pPr>
        <w:spacing w:line="360" w:lineRule="auto"/>
        <w:rPr>
          <w:sz w:val="24"/>
          <w:szCs w:val="24"/>
        </w:rPr>
      </w:pPr>
      <w:r>
        <w:rPr>
          <w:sz w:val="24"/>
          <w:szCs w:val="24"/>
        </w:rPr>
        <w:t>4、应对包装件做必要的加固和固定，以防止运输可能造成的损坏。</w:t>
      </w:r>
    </w:p>
    <w:p w14:paraId="7E1EDCCE">
      <w:pPr>
        <w:spacing w:line="360" w:lineRule="auto"/>
        <w:rPr>
          <w:sz w:val="24"/>
          <w:szCs w:val="24"/>
        </w:rPr>
      </w:pPr>
      <w:r>
        <w:rPr>
          <w:sz w:val="24"/>
          <w:szCs w:val="24"/>
        </w:rPr>
        <w:t>5、每个包装件应有装箱单，并至少标明名称、型号规格、数量、净重和毛重、投标方（或供货商）名称和制造日期等相关内容。</w:t>
      </w:r>
    </w:p>
    <w:p w14:paraId="1585D6D5">
      <w:pPr>
        <w:spacing w:line="360" w:lineRule="auto"/>
        <w:rPr>
          <w:sz w:val="24"/>
          <w:szCs w:val="24"/>
        </w:rPr>
      </w:pPr>
      <w:r>
        <w:rPr>
          <w:sz w:val="24"/>
          <w:szCs w:val="24"/>
        </w:rPr>
        <w:t>6、每个包装箱应有明显标志，并具有中文书写的合同号、装运标志、发货和到货地点名称、发货人和收货人名称、货物名称和项目号、箱号和外型尺寸等内容。</w:t>
      </w:r>
    </w:p>
    <w:p w14:paraId="63136607">
      <w:pPr>
        <w:spacing w:line="360" w:lineRule="auto"/>
        <w:rPr>
          <w:sz w:val="24"/>
          <w:szCs w:val="24"/>
        </w:rPr>
      </w:pPr>
      <w:r>
        <w:rPr>
          <w:sz w:val="24"/>
          <w:szCs w:val="24"/>
        </w:rPr>
        <w:t>7、应按照不同的装运要求在包装箱上标明“小心轻放”、“箭头向上”、“防潮”、“防磁”、“不准平放”等标志，以及其他适用的国标通用标志。</w:t>
      </w:r>
    </w:p>
    <w:p w14:paraId="3F52C911">
      <w:pPr>
        <w:spacing w:line="360" w:lineRule="auto"/>
        <w:rPr>
          <w:sz w:val="24"/>
          <w:szCs w:val="24"/>
        </w:rPr>
      </w:pPr>
      <w:r>
        <w:rPr>
          <w:sz w:val="24"/>
          <w:szCs w:val="24"/>
        </w:rPr>
        <w:t>8、包装箱应连续编号，不应出现重复编号。</w:t>
      </w:r>
    </w:p>
    <w:p w14:paraId="49A04664">
      <w:pPr>
        <w:spacing w:line="360" w:lineRule="auto"/>
        <w:rPr>
          <w:sz w:val="24"/>
          <w:szCs w:val="24"/>
        </w:rPr>
      </w:pPr>
      <w:r>
        <w:rPr>
          <w:sz w:val="24"/>
          <w:szCs w:val="24"/>
        </w:rPr>
        <w:t>9、在不受到外界破坏情况下，包装应保证自交货日起一年内货物（或设备）完好无损。</w:t>
      </w:r>
    </w:p>
    <w:p w14:paraId="79941224">
      <w:pPr>
        <w:spacing w:line="360" w:lineRule="auto"/>
        <w:rPr>
          <w:rFonts w:ascii="黑体" w:hAnsi="黑体" w:eastAsia="黑体" w:cs="黑体"/>
          <w:sz w:val="24"/>
          <w:szCs w:val="24"/>
        </w:rPr>
      </w:pPr>
      <w:r>
        <w:rPr>
          <w:rFonts w:hint="eastAsia" w:ascii="黑体" w:hAnsi="黑体" w:eastAsia="黑体" w:cs="黑体"/>
          <w:sz w:val="24"/>
          <w:szCs w:val="24"/>
        </w:rPr>
        <w:t>五、运输</w:t>
      </w:r>
    </w:p>
    <w:p w14:paraId="2569FE1C">
      <w:pPr>
        <w:spacing w:line="360" w:lineRule="auto"/>
        <w:rPr>
          <w:sz w:val="24"/>
          <w:szCs w:val="24"/>
        </w:rPr>
      </w:pPr>
      <w:r>
        <w:rPr>
          <w:sz w:val="24"/>
          <w:szCs w:val="24"/>
        </w:rPr>
        <w:t>1、应负责将货物（或设备）运到目的地，并必须做到货物（或设备）在任何运输过程中不受损坏和遗失。</w:t>
      </w:r>
    </w:p>
    <w:p w14:paraId="66EDB2B8">
      <w:pPr>
        <w:spacing w:line="360" w:lineRule="auto"/>
        <w:rPr>
          <w:sz w:val="24"/>
          <w:szCs w:val="24"/>
        </w:rPr>
      </w:pPr>
      <w:r>
        <w:rPr>
          <w:sz w:val="24"/>
          <w:szCs w:val="24"/>
        </w:rPr>
        <w:t>2、一般情况下，经由铁路、公路运输的包装件尺寸和重量不应超过国家所规定的尺寸限制。特殊情况应予以说明。</w:t>
      </w:r>
    </w:p>
    <w:p w14:paraId="5EE6106B">
      <w:pPr>
        <w:spacing w:line="360" w:lineRule="auto"/>
        <w:rPr>
          <w:sz w:val="24"/>
          <w:szCs w:val="24"/>
        </w:rPr>
      </w:pPr>
      <w:r>
        <w:rPr>
          <w:sz w:val="24"/>
          <w:szCs w:val="24"/>
        </w:rPr>
        <w:t>3、在每批货物（或设备）发出后，应立即通知买方；通知中应指明：合同号、货运单号、件数、重量和货物（或设备）发出日期等相关内容。</w:t>
      </w:r>
    </w:p>
    <w:p w14:paraId="7074930E">
      <w:pPr>
        <w:spacing w:line="360" w:lineRule="auto"/>
        <w:rPr>
          <w:sz w:val="24"/>
          <w:szCs w:val="24"/>
        </w:rPr>
      </w:pPr>
      <w:r>
        <w:rPr>
          <w:sz w:val="24"/>
          <w:szCs w:val="24"/>
        </w:rPr>
        <w:t>4、货物（或设备）运抵交货地点后，应负责货物（或设备）的卸货、搬运、保管等事宜；或按照合同约定。</w:t>
      </w:r>
    </w:p>
    <w:p w14:paraId="64E0AE43">
      <w:pPr>
        <w:spacing w:before="120" w:after="120" w:line="360" w:lineRule="auto"/>
        <w:jc w:val="center"/>
        <w:rPr>
          <w:b/>
          <w:bCs/>
          <w:sz w:val="28"/>
          <w:szCs w:val="28"/>
        </w:rPr>
      </w:pPr>
      <w:r>
        <w:rPr>
          <w:rFonts w:hint="eastAsia"/>
          <w:b/>
          <w:bCs/>
          <w:sz w:val="28"/>
          <w:szCs w:val="28"/>
        </w:rPr>
        <w:t>第四章  质保期及售后服务</w:t>
      </w:r>
    </w:p>
    <w:p w14:paraId="273BDDA5">
      <w:pPr>
        <w:spacing w:line="360" w:lineRule="auto"/>
        <w:rPr>
          <w:rFonts w:ascii="黑体" w:hAnsi="黑体" w:eastAsia="黑体" w:cs="黑体"/>
          <w:sz w:val="24"/>
          <w:szCs w:val="24"/>
        </w:rPr>
      </w:pPr>
      <w:r>
        <w:rPr>
          <w:rFonts w:hint="eastAsia" w:ascii="黑体" w:hAnsi="黑体" w:eastAsia="黑体" w:cs="黑体"/>
          <w:sz w:val="24"/>
          <w:szCs w:val="24"/>
        </w:rPr>
        <w:t>一、质保期及质保要求</w:t>
      </w:r>
    </w:p>
    <w:p w14:paraId="429B58FB">
      <w:pPr>
        <w:spacing w:line="360" w:lineRule="auto"/>
        <w:rPr>
          <w:sz w:val="24"/>
          <w:szCs w:val="24"/>
        </w:rPr>
      </w:pPr>
      <w:r>
        <w:rPr>
          <w:sz w:val="24"/>
          <w:szCs w:val="24"/>
        </w:rPr>
        <w:t>1、全部供货范围内的设备、材料、零配件和工器具等，除合同特别约定外，其质保期均自终验收签字生效之日起</w:t>
      </w:r>
      <w:r>
        <w:rPr>
          <w:rFonts w:hint="eastAsia"/>
          <w:sz w:val="24"/>
          <w:szCs w:val="24"/>
          <w:u w:val="single"/>
        </w:rPr>
        <w:t xml:space="preserve"> </w:t>
      </w:r>
      <w:r>
        <w:rPr>
          <w:sz w:val="24"/>
          <w:szCs w:val="24"/>
          <w:u w:val="single"/>
        </w:rPr>
        <w:t>12</w:t>
      </w:r>
      <w:r>
        <w:rPr>
          <w:rFonts w:hint="eastAsia"/>
          <w:sz w:val="24"/>
          <w:szCs w:val="24"/>
          <w:u w:val="single"/>
        </w:rPr>
        <w:t xml:space="preserve"> </w:t>
      </w:r>
      <w:r>
        <w:rPr>
          <w:sz w:val="24"/>
          <w:szCs w:val="24"/>
        </w:rPr>
        <w:t>个月。</w:t>
      </w:r>
    </w:p>
    <w:p w14:paraId="2F6DFC1B">
      <w:pPr>
        <w:spacing w:line="360" w:lineRule="auto"/>
        <w:rPr>
          <w:sz w:val="24"/>
          <w:szCs w:val="24"/>
        </w:rPr>
      </w:pPr>
      <w:r>
        <w:rPr>
          <w:sz w:val="24"/>
          <w:szCs w:val="24"/>
        </w:rPr>
        <w:t>投标货物或涉及的关键总成和零件，如果有更长时间质保期，允许更改并说明，此将有利于投标方。设计使用寿命短于质保期的易损件除外，但属于易损件的，应当有明确说明。</w:t>
      </w:r>
    </w:p>
    <w:p w14:paraId="6C92CBB0">
      <w:pPr>
        <w:spacing w:line="360" w:lineRule="auto"/>
        <w:rPr>
          <w:sz w:val="24"/>
          <w:szCs w:val="24"/>
        </w:rPr>
      </w:pPr>
      <w:r>
        <w:rPr>
          <w:sz w:val="24"/>
          <w:szCs w:val="24"/>
        </w:rPr>
        <w:t>2、质保期之内，如果货物出现设备、总成、关键零部件或者多处一般零部件的二次以上的更换或维修行为，则质保期自更换或维修行为结束、货物重新正常运行使用之日起重新计算。</w:t>
      </w:r>
    </w:p>
    <w:p w14:paraId="719E4ACC">
      <w:pPr>
        <w:spacing w:line="360" w:lineRule="auto"/>
        <w:rPr>
          <w:sz w:val="24"/>
          <w:szCs w:val="24"/>
        </w:rPr>
      </w:pPr>
      <w:r>
        <w:rPr>
          <w:sz w:val="24"/>
          <w:szCs w:val="24"/>
        </w:rPr>
        <w:t>3、质保期内免费提供零部件和及时有效的服务。质保期内因货物本身缺陷造成的各种故障，卖方应负责免费维修和服务。</w:t>
      </w:r>
    </w:p>
    <w:p w14:paraId="2AFD4B9F">
      <w:pPr>
        <w:spacing w:line="360" w:lineRule="auto"/>
        <w:rPr>
          <w:sz w:val="24"/>
          <w:szCs w:val="24"/>
        </w:rPr>
      </w:pPr>
      <w:r>
        <w:rPr>
          <w:sz w:val="24"/>
          <w:szCs w:val="24"/>
        </w:rPr>
        <w:t>4、质保期终止之日起一年内重复出现的质保期之内出现的故障，仍属质保范围而且应当免费。</w:t>
      </w:r>
    </w:p>
    <w:p w14:paraId="279D0C25">
      <w:pPr>
        <w:spacing w:line="360" w:lineRule="auto"/>
        <w:rPr>
          <w:rFonts w:ascii="黑体" w:hAnsi="黑体" w:eastAsia="黑体" w:cs="黑体"/>
          <w:sz w:val="24"/>
          <w:szCs w:val="24"/>
        </w:rPr>
      </w:pPr>
      <w:r>
        <w:rPr>
          <w:rFonts w:hint="eastAsia" w:ascii="黑体" w:hAnsi="黑体" w:eastAsia="黑体" w:cs="黑体"/>
          <w:sz w:val="24"/>
          <w:szCs w:val="24"/>
        </w:rPr>
        <w:t>二、技术及培训服务</w:t>
      </w:r>
    </w:p>
    <w:p w14:paraId="390D5C83">
      <w:pPr>
        <w:spacing w:line="360" w:lineRule="auto"/>
        <w:rPr>
          <w:sz w:val="24"/>
          <w:szCs w:val="24"/>
        </w:rPr>
      </w:pPr>
      <w:r>
        <w:rPr>
          <w:sz w:val="24"/>
          <w:szCs w:val="24"/>
        </w:rPr>
        <w:t>1</w:t>
      </w:r>
      <w:r>
        <w:rPr>
          <w:rFonts w:hint="eastAsia"/>
          <w:sz w:val="24"/>
          <w:szCs w:val="24"/>
        </w:rPr>
        <w:t>、应负责在买方货物使用现场，对技术、维修和操作人员提供免费的理论、技术和操作、维修等方面的技术指导和培训，并接受买方有关人员的技术咨询。培训工作日不少于</w:t>
      </w:r>
      <w:r>
        <w:rPr>
          <w:sz w:val="24"/>
          <w:szCs w:val="24"/>
          <w:u w:val="single"/>
        </w:rPr>
        <w:t>1</w:t>
      </w:r>
      <w:r>
        <w:rPr>
          <w:rFonts w:hint="eastAsia"/>
          <w:sz w:val="24"/>
          <w:szCs w:val="24"/>
        </w:rPr>
        <w:t>个工作日。</w:t>
      </w:r>
    </w:p>
    <w:p w14:paraId="6F09ED05">
      <w:pPr>
        <w:spacing w:line="360" w:lineRule="auto"/>
        <w:rPr>
          <w:sz w:val="24"/>
          <w:szCs w:val="24"/>
        </w:rPr>
      </w:pPr>
      <w:r>
        <w:rPr>
          <w:sz w:val="24"/>
          <w:szCs w:val="24"/>
        </w:rPr>
        <w:t>2、应免费提供一定数量的培训资料。</w:t>
      </w:r>
    </w:p>
    <w:p w14:paraId="275B679C">
      <w:pPr>
        <w:spacing w:line="360" w:lineRule="auto"/>
        <w:rPr>
          <w:sz w:val="24"/>
          <w:szCs w:val="24"/>
        </w:rPr>
      </w:pPr>
      <w:r>
        <w:rPr>
          <w:sz w:val="24"/>
          <w:szCs w:val="24"/>
        </w:rPr>
        <w:t>3、应按要求免费积极协助和提供买方以及买方所委托的工程设计单位有关人员所需要的、与货物有关的工程设计资料、技术咨询等。</w:t>
      </w:r>
    </w:p>
    <w:p w14:paraId="160F38B4">
      <w:pPr>
        <w:spacing w:line="360" w:lineRule="auto"/>
        <w:rPr>
          <w:sz w:val="24"/>
          <w:szCs w:val="24"/>
        </w:rPr>
      </w:pPr>
      <w:r>
        <w:rPr>
          <w:sz w:val="24"/>
          <w:szCs w:val="24"/>
        </w:rPr>
        <w:t>4、若卖方提供货物涉及到外购外协货物、而且该货物的技术质量等较为关键时，卖方应能保证得到配套厂家的技术支持，并免费为买方提供技术服务。</w:t>
      </w:r>
    </w:p>
    <w:p w14:paraId="1BEFACF9">
      <w:pPr>
        <w:spacing w:line="360" w:lineRule="auto"/>
        <w:rPr>
          <w:sz w:val="24"/>
          <w:szCs w:val="24"/>
        </w:rPr>
      </w:pPr>
      <w:r>
        <w:rPr>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21AA70D9">
      <w:pPr>
        <w:spacing w:line="360" w:lineRule="auto"/>
        <w:rPr>
          <w:rFonts w:ascii="黑体" w:hAnsi="黑体" w:eastAsia="黑体" w:cs="黑体"/>
          <w:sz w:val="24"/>
          <w:szCs w:val="24"/>
        </w:rPr>
      </w:pPr>
      <w:r>
        <w:rPr>
          <w:rFonts w:hint="eastAsia" w:ascii="黑体" w:hAnsi="黑体" w:eastAsia="黑体" w:cs="黑体"/>
          <w:sz w:val="24"/>
          <w:szCs w:val="24"/>
        </w:rPr>
        <w:t>三、安装调试及验收服务</w:t>
      </w:r>
    </w:p>
    <w:p w14:paraId="29BBE1A5">
      <w:pPr>
        <w:spacing w:line="360" w:lineRule="auto"/>
        <w:rPr>
          <w:sz w:val="24"/>
          <w:szCs w:val="24"/>
        </w:rPr>
      </w:pPr>
      <w:r>
        <w:rPr>
          <w:sz w:val="24"/>
          <w:szCs w:val="24"/>
        </w:rPr>
        <w:t>1、指导安装调试或负责安装调试以及协助验收，投标方均应在投标档中明确其收费额或免费约定，否则视同免费；安装调试及验收服务均应按照合同约定或协议、通知及时组织并完成。因卖方原因造成的延期，所发生的费用全部由卖方承担。</w:t>
      </w:r>
    </w:p>
    <w:p w14:paraId="6F914468">
      <w:pPr>
        <w:spacing w:line="360" w:lineRule="auto"/>
        <w:rPr>
          <w:sz w:val="24"/>
          <w:szCs w:val="24"/>
        </w:rPr>
      </w:pPr>
      <w:r>
        <w:rPr>
          <w:sz w:val="24"/>
          <w:szCs w:val="24"/>
        </w:rPr>
        <w:t>2、若卖方提供的货物涉及到外购外协货物、而且该货物的技术质量等较为关键时，应保证能得到供应商的技术支持，并免费为买方提供安装使用现场的指导与培训。</w:t>
      </w:r>
    </w:p>
    <w:p w14:paraId="0278EFB6">
      <w:pPr>
        <w:spacing w:line="360" w:lineRule="auto"/>
        <w:rPr>
          <w:sz w:val="24"/>
          <w:szCs w:val="24"/>
        </w:rPr>
      </w:pPr>
      <w:r>
        <w:rPr>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38254CAE">
      <w:pPr>
        <w:spacing w:line="360" w:lineRule="auto"/>
        <w:rPr>
          <w:sz w:val="24"/>
          <w:szCs w:val="24"/>
        </w:rPr>
      </w:pPr>
      <w:r>
        <w:rPr>
          <w:sz w:val="24"/>
          <w:szCs w:val="24"/>
        </w:rPr>
        <w:t>4、在卖方所提供货物需要得到买方建设项目所在地政府或行业主管部门的查验、试验、验收时，卖方应当免费完成或协助招标方完成所需要的工作、材料和服务等。协助完成的，应当在投标档报价内容中予以说明，否则视同免费。</w:t>
      </w:r>
    </w:p>
    <w:p w14:paraId="3C64EA99">
      <w:pPr>
        <w:spacing w:line="360" w:lineRule="auto"/>
        <w:rPr>
          <w:sz w:val="24"/>
          <w:szCs w:val="24"/>
        </w:rPr>
      </w:pPr>
      <w:r>
        <w:rPr>
          <w:sz w:val="24"/>
          <w:szCs w:val="24"/>
        </w:rPr>
        <w:t>5、卖方应当向买方提供货物试验、验收的有关标准、规范和方法，同时提供货物涉及并使用的软件合法性证明。</w:t>
      </w:r>
    </w:p>
    <w:p w14:paraId="1ACE1E2B">
      <w:pPr>
        <w:spacing w:line="360" w:lineRule="auto"/>
        <w:rPr>
          <w:sz w:val="24"/>
          <w:szCs w:val="24"/>
        </w:rPr>
      </w:pPr>
      <w:r>
        <w:rPr>
          <w:sz w:val="24"/>
          <w:szCs w:val="24"/>
        </w:rPr>
        <w:t>6、服务缺陷视同货物缺陷和履约延期。</w:t>
      </w:r>
    </w:p>
    <w:p w14:paraId="7EE0FAE4">
      <w:pPr>
        <w:spacing w:line="360" w:lineRule="auto"/>
        <w:rPr>
          <w:rFonts w:ascii="黑体" w:hAnsi="黑体" w:eastAsia="黑体" w:cs="黑体"/>
          <w:sz w:val="24"/>
          <w:szCs w:val="24"/>
        </w:rPr>
      </w:pPr>
      <w:r>
        <w:rPr>
          <w:rFonts w:hint="eastAsia" w:ascii="黑体" w:hAnsi="黑体" w:eastAsia="黑体" w:cs="黑体"/>
          <w:sz w:val="24"/>
          <w:szCs w:val="24"/>
        </w:rPr>
        <w:t>四、售后服务</w:t>
      </w:r>
    </w:p>
    <w:p w14:paraId="2F7C06E5">
      <w:pPr>
        <w:spacing w:line="360" w:lineRule="auto"/>
        <w:rPr>
          <w:sz w:val="24"/>
          <w:szCs w:val="24"/>
        </w:rPr>
      </w:pPr>
      <w:r>
        <w:rPr>
          <w:sz w:val="24"/>
          <w:szCs w:val="24"/>
        </w:rPr>
        <w:t>1、卖方提供的货物涉及的所有售后服务均由卖方负责。如果发生问题并且收到通知，卖方应当在2小时内予以答复。</w:t>
      </w:r>
    </w:p>
    <w:p w14:paraId="3E59DB82">
      <w:pPr>
        <w:spacing w:line="360" w:lineRule="auto"/>
        <w:rPr>
          <w:sz w:val="24"/>
          <w:szCs w:val="24"/>
        </w:rPr>
      </w:pPr>
      <w:r>
        <w:rPr>
          <w:sz w:val="24"/>
          <w:szCs w:val="24"/>
        </w:rPr>
        <w:t>2、</w:t>
      </w:r>
      <w:r>
        <w:rPr>
          <w:rFonts w:hint="eastAsia"/>
          <w:sz w:val="24"/>
          <w:szCs w:val="24"/>
        </w:rPr>
        <w:t>终验收合格后，质保期一年。在正常运行的情况下，系统出现故障，在接到通知后2小时以内予以答复，并在24小时以内派出服务人员，无偿维修；在质保期满后，投标方在接到通知后2小时以内予以答复，并在24小时以内派出服务人员</w:t>
      </w:r>
      <w:r>
        <w:rPr>
          <w:sz w:val="24"/>
          <w:szCs w:val="24"/>
        </w:rPr>
        <w:t>。</w:t>
      </w:r>
    </w:p>
    <w:p w14:paraId="1BDF4083">
      <w:pPr>
        <w:spacing w:line="360" w:lineRule="auto"/>
        <w:rPr>
          <w:sz w:val="24"/>
          <w:szCs w:val="24"/>
        </w:rPr>
      </w:pPr>
      <w:r>
        <w:rPr>
          <w:sz w:val="24"/>
          <w:szCs w:val="24"/>
        </w:rPr>
        <w:t>3、卖方派往买方使用现场的人员，应具有较高的业务素质；现场解决问题时，不得无故拖延或推迟，应为买方提供最佳的服务。</w:t>
      </w:r>
    </w:p>
    <w:p w14:paraId="4D46583A">
      <w:pPr>
        <w:spacing w:line="360" w:lineRule="auto"/>
        <w:rPr>
          <w:rFonts w:ascii="黑体" w:hAnsi="黑体" w:eastAsia="黑体" w:cs="黑体"/>
          <w:sz w:val="24"/>
          <w:szCs w:val="24"/>
        </w:rPr>
      </w:pPr>
      <w:r>
        <w:rPr>
          <w:rFonts w:hint="eastAsia" w:ascii="黑体" w:hAnsi="黑体" w:eastAsia="黑体" w:cs="黑体"/>
          <w:sz w:val="24"/>
          <w:szCs w:val="24"/>
        </w:rPr>
        <w:t>五、其他服务</w:t>
      </w:r>
    </w:p>
    <w:p w14:paraId="35361F14">
      <w:pPr>
        <w:spacing w:line="360" w:lineRule="auto"/>
        <w:rPr>
          <w:sz w:val="24"/>
          <w:szCs w:val="24"/>
        </w:rPr>
      </w:pPr>
      <w:r>
        <w:rPr>
          <w:sz w:val="24"/>
          <w:szCs w:val="24"/>
        </w:rPr>
        <w:t>1、若卖方所提供货物有需要进口的，卖方一般应自行、自费办理；必要时，买卖双方共同办理。</w:t>
      </w:r>
    </w:p>
    <w:p w14:paraId="668E4511">
      <w:pPr>
        <w:spacing w:line="360" w:lineRule="auto"/>
        <w:rPr>
          <w:sz w:val="24"/>
          <w:szCs w:val="24"/>
        </w:rPr>
      </w:pPr>
      <w:r>
        <w:rPr>
          <w:sz w:val="24"/>
          <w:szCs w:val="24"/>
        </w:rPr>
        <w:t>2、除招标档、投标档、答疑档、技术协议、合同等约定之外，卖方应免费负责必要的或强制性的货物的检验、试验、化验等直接费用。</w:t>
      </w:r>
    </w:p>
    <w:p w14:paraId="3644CB3A">
      <w:pPr>
        <w:spacing w:line="360" w:lineRule="auto"/>
        <w:rPr>
          <w:sz w:val="24"/>
          <w:szCs w:val="24"/>
        </w:rPr>
      </w:pPr>
      <w:r>
        <w:rPr>
          <w:sz w:val="24"/>
          <w:szCs w:val="24"/>
        </w:rPr>
        <w:t>3、本章节条款所列“免费”，并非指定不可收费，而是指招标档、投标档、答疑档、技术交流档、技术协议书和合同等范围之外，投标方不可另行收取的费用。</w:t>
      </w:r>
    </w:p>
    <w:p w14:paraId="1FFFD515">
      <w:pPr>
        <w:spacing w:line="360" w:lineRule="auto"/>
        <w:jc w:val="center"/>
        <w:rPr>
          <w:b/>
          <w:bCs/>
          <w:sz w:val="28"/>
          <w:szCs w:val="28"/>
        </w:rPr>
      </w:pPr>
      <w:r>
        <w:rPr>
          <w:rFonts w:hint="eastAsia"/>
          <w:b/>
          <w:bCs/>
          <w:sz w:val="28"/>
          <w:szCs w:val="28"/>
        </w:rPr>
        <w:t>第五章  预验收和终验收</w:t>
      </w:r>
    </w:p>
    <w:p w14:paraId="44443EF6">
      <w:pPr>
        <w:spacing w:line="360" w:lineRule="auto"/>
        <w:rPr>
          <w:rFonts w:ascii="黑体" w:hAnsi="黑体" w:eastAsia="黑体" w:cs="黑体"/>
          <w:sz w:val="24"/>
          <w:szCs w:val="24"/>
        </w:rPr>
      </w:pPr>
      <w:r>
        <w:rPr>
          <w:rFonts w:hint="eastAsia" w:ascii="黑体" w:hAnsi="黑体" w:eastAsia="黑体" w:cs="黑体"/>
          <w:sz w:val="24"/>
          <w:szCs w:val="24"/>
        </w:rPr>
        <w:t>一、验收依据和验收标准</w:t>
      </w:r>
    </w:p>
    <w:p w14:paraId="6D86DB89">
      <w:pPr>
        <w:spacing w:line="360" w:lineRule="auto"/>
        <w:rPr>
          <w:sz w:val="24"/>
          <w:szCs w:val="24"/>
        </w:rPr>
      </w:pPr>
      <w:r>
        <w:rPr>
          <w:sz w:val="24"/>
          <w:szCs w:val="24"/>
        </w:rPr>
        <w:t>1、验收标准一般以技术协议书和合同规定验收。无论技术协议书和合同，是否全部并准确列明验收所涉及的相关标准，均作为验收标准之一。</w:t>
      </w:r>
    </w:p>
    <w:p w14:paraId="68941B64">
      <w:pPr>
        <w:spacing w:line="360" w:lineRule="auto"/>
        <w:rPr>
          <w:sz w:val="24"/>
          <w:szCs w:val="24"/>
        </w:rPr>
      </w:pPr>
      <w:r>
        <w:rPr>
          <w:sz w:val="24"/>
          <w:szCs w:val="24"/>
        </w:rPr>
        <w:t>2、如果验收过程中，发现招标档、投标档、答疑档、技术交流档等与技术协议书、合同存在差异，原则上以涉及条款中对买方最有利条款为验收依据。</w:t>
      </w:r>
    </w:p>
    <w:p w14:paraId="4EEFBBB5">
      <w:pPr>
        <w:spacing w:line="360" w:lineRule="auto"/>
        <w:rPr>
          <w:rFonts w:ascii="黑体" w:hAnsi="黑体" w:eastAsia="黑体" w:cs="黑体"/>
          <w:sz w:val="24"/>
          <w:szCs w:val="24"/>
        </w:rPr>
      </w:pPr>
      <w:r>
        <w:rPr>
          <w:rFonts w:hint="eastAsia" w:ascii="黑体" w:hAnsi="黑体" w:eastAsia="黑体" w:cs="黑体"/>
          <w:sz w:val="24"/>
          <w:szCs w:val="24"/>
        </w:rPr>
        <w:t>二、检验</w:t>
      </w:r>
    </w:p>
    <w:p w14:paraId="6C670292">
      <w:pPr>
        <w:spacing w:line="360" w:lineRule="auto"/>
        <w:ind w:firstLine="480" w:firstLineChars="200"/>
        <w:rPr>
          <w:sz w:val="24"/>
          <w:szCs w:val="24"/>
        </w:rPr>
      </w:pPr>
      <w:r>
        <w:rPr>
          <w:sz w:val="24"/>
          <w:szCs w:val="24"/>
        </w:rPr>
        <w:t>如果采购货物涉及必要的或必需的检验，投标方应当在投标档中明确可能涉及的检验费用，并将该费用包含在投标总报价之内；不作针对性澄清或说明的，视同包含在投标总价之内。基本约定如下：</w:t>
      </w:r>
    </w:p>
    <w:p w14:paraId="24DCE621">
      <w:pPr>
        <w:spacing w:line="360" w:lineRule="auto"/>
        <w:rPr>
          <w:sz w:val="24"/>
          <w:szCs w:val="24"/>
        </w:rPr>
      </w:pPr>
      <w:r>
        <w:rPr>
          <w:sz w:val="24"/>
          <w:szCs w:val="24"/>
        </w:rPr>
        <w:t>1、国产货物的检验一般由买卖双方共同进行或按照合同要求进行。</w:t>
      </w:r>
    </w:p>
    <w:p w14:paraId="45D76CD0">
      <w:pPr>
        <w:spacing w:line="360" w:lineRule="auto"/>
        <w:rPr>
          <w:sz w:val="24"/>
          <w:szCs w:val="24"/>
        </w:rPr>
      </w:pPr>
      <w:r>
        <w:rPr>
          <w:sz w:val="24"/>
          <w:szCs w:val="24"/>
        </w:rPr>
        <w:t>2、进口货物的检验，卖方需要按照下述要求进行：</w:t>
      </w:r>
    </w:p>
    <w:p w14:paraId="4E1D8A7F">
      <w:pPr>
        <w:spacing w:line="360" w:lineRule="auto"/>
        <w:rPr>
          <w:sz w:val="24"/>
          <w:szCs w:val="24"/>
        </w:rPr>
      </w:pPr>
      <w:r>
        <w:rPr>
          <w:sz w:val="24"/>
          <w:szCs w:val="24"/>
        </w:rPr>
        <w:t>2.1  进口货物发货前，应对货物的质量、型号、规格、性能和数量/重量作精密、全面的检验，并出具证明书，证明所供货物符合合同规定。</w:t>
      </w:r>
    </w:p>
    <w:p w14:paraId="35945D3D">
      <w:pPr>
        <w:spacing w:line="360" w:lineRule="auto"/>
        <w:rPr>
          <w:sz w:val="24"/>
          <w:szCs w:val="24"/>
        </w:rPr>
      </w:pPr>
      <w:r>
        <w:rPr>
          <w:sz w:val="24"/>
          <w:szCs w:val="24"/>
        </w:rPr>
        <w:t>2.2  应依据合同规定的要求，提供买卖双方达成一致的货物的验收标准和装箱单，作为买方检验的依据。</w:t>
      </w:r>
    </w:p>
    <w:p w14:paraId="12096ADE">
      <w:pPr>
        <w:spacing w:line="360" w:lineRule="auto"/>
        <w:rPr>
          <w:sz w:val="24"/>
          <w:szCs w:val="24"/>
        </w:rPr>
      </w:pPr>
      <w:r>
        <w:rPr>
          <w:sz w:val="24"/>
          <w:szCs w:val="24"/>
        </w:rPr>
        <w:t>2.3  进口货物到达目的地后，买方有权申请中国商品检验检疫局进行检验，如发现货物的质量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62D5F7FC">
      <w:pPr>
        <w:spacing w:line="360" w:lineRule="auto"/>
        <w:rPr>
          <w:rFonts w:ascii="黑体" w:hAnsi="黑体" w:eastAsia="黑体" w:cs="黑体"/>
          <w:sz w:val="24"/>
          <w:szCs w:val="24"/>
        </w:rPr>
      </w:pPr>
      <w:r>
        <w:rPr>
          <w:rFonts w:hint="eastAsia" w:ascii="黑体" w:hAnsi="黑体" w:eastAsia="黑体" w:cs="黑体"/>
          <w:sz w:val="24"/>
          <w:szCs w:val="24"/>
        </w:rPr>
        <w:t>三、验收基本条件</w:t>
      </w:r>
    </w:p>
    <w:p w14:paraId="5A5FDD16">
      <w:pPr>
        <w:spacing w:line="360" w:lineRule="auto"/>
        <w:ind w:firstLine="480" w:firstLineChars="200"/>
        <w:rPr>
          <w:sz w:val="24"/>
          <w:szCs w:val="24"/>
        </w:rPr>
      </w:pPr>
      <w:r>
        <w:rPr>
          <w:rFonts w:hint="eastAsia"/>
          <w:sz w:val="24"/>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78A7FBDF">
      <w:pPr>
        <w:spacing w:line="360" w:lineRule="auto"/>
        <w:ind w:firstLine="480" w:firstLineChars="200"/>
        <w:rPr>
          <w:sz w:val="24"/>
          <w:szCs w:val="24"/>
        </w:rPr>
      </w:pPr>
      <w:r>
        <w:rPr>
          <w:rFonts w:hint="eastAsia"/>
          <w:sz w:val="24"/>
          <w:szCs w:val="24"/>
        </w:rPr>
        <w:t>买卖双方按照合同约定执行了合同，同时货物完成了试运行并经检验合格，则具备验收条件。</w:t>
      </w:r>
    </w:p>
    <w:p w14:paraId="7C765BB0">
      <w:pPr>
        <w:spacing w:line="360" w:lineRule="auto"/>
        <w:rPr>
          <w:sz w:val="24"/>
          <w:szCs w:val="24"/>
        </w:rPr>
      </w:pPr>
      <w:r>
        <w:rPr>
          <w:rFonts w:hint="eastAsia"/>
          <w:sz w:val="24"/>
          <w:szCs w:val="24"/>
        </w:rPr>
        <w:t>1、预验收一般条件</w:t>
      </w:r>
    </w:p>
    <w:p w14:paraId="0544B225">
      <w:pPr>
        <w:spacing w:line="360" w:lineRule="auto"/>
        <w:rPr>
          <w:sz w:val="24"/>
          <w:szCs w:val="24"/>
        </w:rPr>
      </w:pPr>
      <w:r>
        <w:rPr>
          <w:rFonts w:hint="eastAsia"/>
          <w:sz w:val="24"/>
          <w:szCs w:val="24"/>
        </w:rPr>
        <w:t>1.1  卖方已经按照“供货范围”要求提供了预验收资料，并且资料齐全、完整和有效。</w:t>
      </w:r>
    </w:p>
    <w:p w14:paraId="2972072A">
      <w:pPr>
        <w:spacing w:line="360" w:lineRule="auto"/>
        <w:rPr>
          <w:sz w:val="24"/>
          <w:szCs w:val="24"/>
        </w:rPr>
      </w:pPr>
      <w:r>
        <w:rPr>
          <w:rFonts w:hint="eastAsia"/>
          <w:sz w:val="24"/>
          <w:szCs w:val="24"/>
        </w:rPr>
        <w:t>1.</w:t>
      </w:r>
      <w:r>
        <w:rPr>
          <w:sz w:val="24"/>
          <w:szCs w:val="24"/>
        </w:rPr>
        <w:t>2</w:t>
      </w:r>
      <w:r>
        <w:rPr>
          <w:rFonts w:hint="eastAsia"/>
          <w:sz w:val="24"/>
          <w:szCs w:val="24"/>
        </w:rPr>
        <w:t xml:space="preserve">  货物应完整且所有的零部件应该安装牢固，外观无损伤，所有的焊缝饱满、无残渣等缺陷。</w:t>
      </w:r>
    </w:p>
    <w:p w14:paraId="568041E0">
      <w:pPr>
        <w:spacing w:line="360" w:lineRule="auto"/>
        <w:rPr>
          <w:sz w:val="24"/>
          <w:szCs w:val="24"/>
        </w:rPr>
      </w:pPr>
      <w:r>
        <w:rPr>
          <w:rFonts w:hint="eastAsia"/>
          <w:sz w:val="24"/>
          <w:szCs w:val="24"/>
        </w:rPr>
        <w:t>1.</w:t>
      </w:r>
      <w:r>
        <w:rPr>
          <w:sz w:val="24"/>
          <w:szCs w:val="24"/>
        </w:rPr>
        <w:t>3</w:t>
      </w:r>
      <w:r>
        <w:rPr>
          <w:rFonts w:hint="eastAsia"/>
          <w:sz w:val="24"/>
          <w:szCs w:val="24"/>
        </w:rPr>
        <w:t xml:space="preserve">  一般情况下，所有的管路和线缆等，接头应完全正确、可靠地联接；应排列有序（正确、牢固、整齐），有必要的防护，无皱褶、收缩和裂缝等不良现象。</w:t>
      </w:r>
    </w:p>
    <w:p w14:paraId="6EDD423C">
      <w:pPr>
        <w:spacing w:line="360" w:lineRule="auto"/>
        <w:rPr>
          <w:sz w:val="24"/>
          <w:szCs w:val="24"/>
        </w:rPr>
      </w:pPr>
      <w:r>
        <w:rPr>
          <w:rFonts w:hint="eastAsia"/>
          <w:sz w:val="24"/>
          <w:szCs w:val="24"/>
        </w:rPr>
        <w:t>1.4  使用的压力容器、电气等应具备合格证（如果有压力容器）。</w:t>
      </w:r>
    </w:p>
    <w:p w14:paraId="7B98522D">
      <w:pPr>
        <w:spacing w:line="360" w:lineRule="auto"/>
        <w:rPr>
          <w:sz w:val="24"/>
          <w:szCs w:val="24"/>
        </w:rPr>
      </w:pPr>
      <w:r>
        <w:rPr>
          <w:rFonts w:hint="eastAsia"/>
          <w:sz w:val="24"/>
          <w:szCs w:val="24"/>
        </w:rPr>
        <w:t>1.5  货物的油漆质量应饱满、有光泽，无掉漆、无色差、无“桔皮”等不良现象（特殊标志除外）。</w:t>
      </w:r>
    </w:p>
    <w:p w14:paraId="44F165C0">
      <w:pPr>
        <w:spacing w:line="360" w:lineRule="auto"/>
        <w:rPr>
          <w:sz w:val="24"/>
          <w:szCs w:val="24"/>
        </w:rPr>
      </w:pPr>
      <w:r>
        <w:rPr>
          <w:rFonts w:hint="eastAsia"/>
          <w:sz w:val="24"/>
          <w:szCs w:val="24"/>
        </w:rPr>
        <w:t>1.6  货物标牌完整、清晰、明确。</w:t>
      </w:r>
    </w:p>
    <w:p w14:paraId="601612F0">
      <w:pPr>
        <w:spacing w:line="360" w:lineRule="auto"/>
        <w:rPr>
          <w:sz w:val="24"/>
          <w:szCs w:val="24"/>
        </w:rPr>
      </w:pPr>
      <w:r>
        <w:rPr>
          <w:rFonts w:hint="eastAsia"/>
          <w:sz w:val="24"/>
          <w:szCs w:val="24"/>
        </w:rPr>
        <w:t>1.7  货物的安全要求符合中国最新的相关法律、法规、标准和规范以及合同要求。</w:t>
      </w:r>
    </w:p>
    <w:p w14:paraId="7EB9B04B">
      <w:pPr>
        <w:spacing w:line="360" w:lineRule="auto"/>
        <w:rPr>
          <w:sz w:val="24"/>
          <w:szCs w:val="24"/>
        </w:rPr>
      </w:pPr>
      <w:r>
        <w:rPr>
          <w:rFonts w:hint="eastAsia"/>
          <w:sz w:val="24"/>
          <w:szCs w:val="24"/>
        </w:rPr>
        <w:t>1.8  设备（或材料）应运行灵活、稳定、可靠、安全，无异常声音和非正常振动，设备不允许出现漏水、漏液、漏气（汽）、漏电。</w:t>
      </w:r>
    </w:p>
    <w:p w14:paraId="09FE9FF4">
      <w:pPr>
        <w:spacing w:line="360" w:lineRule="auto"/>
        <w:rPr>
          <w:sz w:val="24"/>
          <w:szCs w:val="24"/>
        </w:rPr>
      </w:pPr>
      <w:r>
        <w:rPr>
          <w:rFonts w:hint="eastAsia"/>
          <w:sz w:val="24"/>
          <w:szCs w:val="24"/>
        </w:rPr>
        <w:t>2、预验收基本要求</w:t>
      </w:r>
    </w:p>
    <w:p w14:paraId="21599A9E">
      <w:pPr>
        <w:spacing w:line="360" w:lineRule="auto"/>
        <w:rPr>
          <w:sz w:val="24"/>
          <w:szCs w:val="24"/>
        </w:rPr>
      </w:pPr>
      <w:r>
        <w:rPr>
          <w:rFonts w:hint="eastAsia"/>
          <w:sz w:val="24"/>
          <w:szCs w:val="24"/>
        </w:rPr>
        <w:t>2.1  设备构成、备件齐全</w:t>
      </w:r>
    </w:p>
    <w:p w14:paraId="511EEAA9">
      <w:pPr>
        <w:spacing w:line="360" w:lineRule="auto"/>
        <w:rPr>
          <w:sz w:val="24"/>
          <w:szCs w:val="24"/>
        </w:rPr>
      </w:pPr>
      <w:r>
        <w:rPr>
          <w:rFonts w:hint="eastAsia"/>
          <w:sz w:val="24"/>
          <w:szCs w:val="24"/>
        </w:rPr>
        <w:t>2.2  设备技术原理符合标书要求</w:t>
      </w:r>
    </w:p>
    <w:p w14:paraId="1A72BA22">
      <w:pPr>
        <w:spacing w:line="360" w:lineRule="auto"/>
        <w:rPr>
          <w:sz w:val="24"/>
          <w:szCs w:val="24"/>
        </w:rPr>
      </w:pPr>
      <w:r>
        <w:rPr>
          <w:rFonts w:hint="eastAsia"/>
          <w:sz w:val="24"/>
          <w:szCs w:val="24"/>
        </w:rPr>
        <w:t>2.3  预验收原则上要求一次完成。若一次验收不成功，最多允许两次；如果出现第三次验收失败，重新作价或退货；</w:t>
      </w:r>
    </w:p>
    <w:p w14:paraId="28EB6434">
      <w:pPr>
        <w:spacing w:line="360" w:lineRule="auto"/>
        <w:rPr>
          <w:sz w:val="24"/>
          <w:szCs w:val="24"/>
        </w:rPr>
      </w:pPr>
      <w:r>
        <w:rPr>
          <w:rFonts w:hint="eastAsia"/>
          <w:sz w:val="24"/>
          <w:szCs w:val="24"/>
        </w:rPr>
        <w:t>3、终验收条件</w:t>
      </w:r>
    </w:p>
    <w:p w14:paraId="57F854E8">
      <w:pPr>
        <w:spacing w:line="360" w:lineRule="auto"/>
        <w:rPr>
          <w:sz w:val="24"/>
          <w:szCs w:val="24"/>
        </w:rPr>
      </w:pPr>
      <w:r>
        <w:rPr>
          <w:rFonts w:hint="eastAsia"/>
          <w:sz w:val="24"/>
          <w:szCs w:val="24"/>
        </w:rPr>
        <w:t>3.1依据招标档、投标档、答疑档、技术交流档等形成并达成一致的技术协议书和合同规定的终验收条件验收。</w:t>
      </w:r>
    </w:p>
    <w:p w14:paraId="13AB7D65">
      <w:pPr>
        <w:spacing w:line="360" w:lineRule="auto"/>
        <w:rPr>
          <w:sz w:val="24"/>
          <w:szCs w:val="24"/>
        </w:rPr>
      </w:pPr>
      <w:r>
        <w:rPr>
          <w:rFonts w:hint="eastAsia"/>
          <w:sz w:val="24"/>
          <w:szCs w:val="24"/>
        </w:rPr>
        <w:t>3.2终验收时试加工内切圆直径φ20mm、厚40mm的正八边形，以此考核设备的加工精度和表面质量。</w:t>
      </w:r>
    </w:p>
    <w:p w14:paraId="1FD136C6">
      <w:pPr>
        <w:spacing w:line="360" w:lineRule="auto"/>
        <w:rPr>
          <w:sz w:val="24"/>
          <w:szCs w:val="24"/>
        </w:rPr>
      </w:pPr>
      <w:r>
        <w:rPr>
          <w:rFonts w:hint="eastAsia"/>
          <w:sz w:val="24"/>
          <w:szCs w:val="24"/>
        </w:rPr>
        <w:t>3.3出现下列问题之一，视作验收失败：</w:t>
      </w:r>
    </w:p>
    <w:p w14:paraId="5758EC2B">
      <w:pPr>
        <w:spacing w:line="360" w:lineRule="auto"/>
        <w:rPr>
          <w:sz w:val="24"/>
          <w:szCs w:val="24"/>
        </w:rPr>
      </w:pPr>
      <w:r>
        <w:rPr>
          <w:rFonts w:hint="eastAsia"/>
          <w:sz w:val="24"/>
          <w:szCs w:val="24"/>
        </w:rPr>
        <w:t>3.3.1 设备验收时，其参数无法满足招标书中的技术要求。</w:t>
      </w:r>
    </w:p>
    <w:p w14:paraId="3F184878">
      <w:pPr>
        <w:spacing w:line="360" w:lineRule="auto"/>
        <w:rPr>
          <w:sz w:val="24"/>
          <w:szCs w:val="24"/>
        </w:rPr>
      </w:pPr>
      <w:r>
        <w:rPr>
          <w:rFonts w:hint="eastAsia"/>
          <w:sz w:val="24"/>
          <w:szCs w:val="24"/>
        </w:rPr>
        <w:t>3.3.2 在整个验收过程中发生关键零部件损坏或重大故障；</w:t>
      </w:r>
    </w:p>
    <w:p w14:paraId="689531D2">
      <w:pPr>
        <w:spacing w:line="360" w:lineRule="auto"/>
        <w:rPr>
          <w:sz w:val="24"/>
          <w:szCs w:val="24"/>
        </w:rPr>
      </w:pPr>
      <w:r>
        <w:rPr>
          <w:rFonts w:hint="eastAsia"/>
          <w:sz w:val="24"/>
          <w:szCs w:val="24"/>
        </w:rPr>
        <w:t>3.3.3 更换的零部件货值超过总货值的1%。</w:t>
      </w:r>
    </w:p>
    <w:p w14:paraId="39E56975">
      <w:pPr>
        <w:spacing w:line="360" w:lineRule="auto"/>
        <w:rPr>
          <w:sz w:val="24"/>
          <w:szCs w:val="24"/>
        </w:rPr>
      </w:pPr>
      <w:r>
        <w:rPr>
          <w:rFonts w:hint="eastAsia"/>
          <w:sz w:val="24"/>
          <w:szCs w:val="24"/>
        </w:rPr>
        <w:t>3.4 累计负载运行实际性能（或生产率）达不到技术协议约定；</w:t>
      </w:r>
    </w:p>
    <w:p w14:paraId="37F80B3D">
      <w:pPr>
        <w:spacing w:line="360" w:lineRule="auto"/>
        <w:rPr>
          <w:sz w:val="24"/>
          <w:szCs w:val="24"/>
        </w:rPr>
      </w:pPr>
      <w:r>
        <w:rPr>
          <w:rFonts w:hint="eastAsia"/>
          <w:sz w:val="24"/>
          <w:szCs w:val="24"/>
        </w:rPr>
        <w:t>3.5 终验收原则上要求一次完成。若一次验收不成功，最多允许两次；如果出现第三次验收失败，重新作价或退货；</w:t>
      </w:r>
    </w:p>
    <w:p w14:paraId="4E2395D9">
      <w:pPr>
        <w:spacing w:line="360" w:lineRule="auto"/>
        <w:rPr>
          <w:sz w:val="24"/>
          <w:szCs w:val="24"/>
        </w:rPr>
      </w:pPr>
      <w:r>
        <w:rPr>
          <w:rFonts w:hint="eastAsia"/>
          <w:sz w:val="24"/>
          <w:szCs w:val="24"/>
        </w:rPr>
        <w:t>3.6 终验收通过后买卖双方共同签署终验收报告，并移交、核对全部供货范围内物品。</w:t>
      </w:r>
    </w:p>
    <w:p w14:paraId="6890E97F">
      <w:pPr>
        <w:spacing w:line="360" w:lineRule="auto"/>
        <w:jc w:val="center"/>
        <w:rPr>
          <w:b/>
          <w:bCs/>
          <w:sz w:val="28"/>
          <w:szCs w:val="28"/>
        </w:rPr>
      </w:pPr>
      <w:r>
        <w:rPr>
          <w:rFonts w:hint="eastAsia"/>
          <w:b/>
          <w:bCs/>
          <w:sz w:val="28"/>
          <w:szCs w:val="28"/>
        </w:rPr>
        <w:t>第六章  投标技术档一般要求</w:t>
      </w:r>
    </w:p>
    <w:p w14:paraId="0AAE8006">
      <w:pPr>
        <w:spacing w:line="360" w:lineRule="auto"/>
        <w:rPr>
          <w:rFonts w:ascii="黑体" w:hAnsi="黑体" w:eastAsia="黑体" w:cs="黑体"/>
          <w:sz w:val="24"/>
          <w:szCs w:val="24"/>
        </w:rPr>
      </w:pPr>
      <w:r>
        <w:rPr>
          <w:rFonts w:hint="eastAsia" w:ascii="黑体" w:hAnsi="黑体" w:eastAsia="黑体" w:cs="黑体"/>
          <w:sz w:val="24"/>
          <w:szCs w:val="24"/>
        </w:rPr>
        <w:t>一、技术档一般内容要求</w:t>
      </w:r>
    </w:p>
    <w:p w14:paraId="1810BBBD">
      <w:pPr>
        <w:spacing w:line="360" w:lineRule="auto"/>
        <w:rPr>
          <w:sz w:val="24"/>
          <w:szCs w:val="24"/>
        </w:rPr>
      </w:pPr>
      <w:r>
        <w:rPr>
          <w:sz w:val="24"/>
          <w:szCs w:val="24"/>
        </w:rPr>
        <w:t>1、投标方应认真阅读招标档和本技术标书，并按要求编写投标技术档。</w:t>
      </w:r>
    </w:p>
    <w:p w14:paraId="78162D20">
      <w:pPr>
        <w:spacing w:line="360" w:lineRule="auto"/>
        <w:rPr>
          <w:sz w:val="24"/>
          <w:szCs w:val="24"/>
        </w:rPr>
      </w:pPr>
      <w:r>
        <w:rPr>
          <w:sz w:val="24"/>
          <w:szCs w:val="24"/>
        </w:rPr>
        <w:t>2、投标技术档至少应对投标货物的功能用途、技术性能、质量标准、技术参数等作出详细说明。</w:t>
      </w:r>
    </w:p>
    <w:p w14:paraId="3C818F3F">
      <w:pPr>
        <w:spacing w:line="360" w:lineRule="auto"/>
        <w:rPr>
          <w:sz w:val="24"/>
          <w:szCs w:val="24"/>
        </w:rPr>
      </w:pPr>
      <w:r>
        <w:rPr>
          <w:sz w:val="24"/>
          <w:szCs w:val="24"/>
        </w:rPr>
        <w:t>3、投标技术档至少应根据投标货物的关键设备、总成、零部件或系统作出满足或优于招标档要求的详细说明。</w:t>
      </w:r>
    </w:p>
    <w:p w14:paraId="12E61E49">
      <w:pPr>
        <w:spacing w:line="360" w:lineRule="auto"/>
        <w:rPr>
          <w:sz w:val="24"/>
          <w:szCs w:val="24"/>
        </w:rPr>
      </w:pPr>
      <w:r>
        <w:rPr>
          <w:sz w:val="24"/>
          <w:szCs w:val="24"/>
        </w:rPr>
        <w:t>4、投标技术档至少应按照招标档要求（或投标方建议）列明备品备件、易损件和专用耗材明细。</w:t>
      </w:r>
    </w:p>
    <w:p w14:paraId="44D80939">
      <w:pPr>
        <w:spacing w:line="360" w:lineRule="auto"/>
        <w:rPr>
          <w:sz w:val="24"/>
          <w:szCs w:val="24"/>
        </w:rPr>
      </w:pPr>
      <w:r>
        <w:rPr>
          <w:sz w:val="24"/>
          <w:szCs w:val="24"/>
        </w:rPr>
        <w:t>5、投标方应当而且必须分别说明所列备品备件、易损件和专用耗材的使用寿命（以有效工作小时数说明）。</w:t>
      </w:r>
    </w:p>
    <w:p w14:paraId="5192A570">
      <w:pPr>
        <w:spacing w:line="360" w:lineRule="auto"/>
        <w:rPr>
          <w:sz w:val="24"/>
          <w:szCs w:val="24"/>
        </w:rPr>
      </w:pPr>
      <w:r>
        <w:rPr>
          <w:sz w:val="24"/>
          <w:szCs w:val="24"/>
        </w:rPr>
        <w:t>6</w:t>
      </w:r>
      <w:r>
        <w:rPr>
          <w:rFonts w:hint="eastAsia"/>
          <w:sz w:val="24"/>
          <w:szCs w:val="24"/>
        </w:rPr>
        <w:t>、</w:t>
      </w:r>
      <w:r>
        <w:rPr>
          <w:sz w:val="24"/>
          <w:szCs w:val="24"/>
        </w:rPr>
        <w:t>“开标一览表”和“明细表”仅作为投标方编制投标技术档的一般格式。其中序号编写应当便于招标方了解分类或分项货物之间的所属关系，如1、1.1、1.2。</w:t>
      </w:r>
    </w:p>
    <w:p w14:paraId="43E03D1A">
      <w:pPr>
        <w:spacing w:line="360" w:lineRule="auto"/>
        <w:rPr>
          <w:sz w:val="24"/>
          <w:szCs w:val="24"/>
        </w:rPr>
      </w:pPr>
      <w:r>
        <w:rPr>
          <w:rFonts w:hint="eastAsia"/>
          <w:sz w:val="24"/>
          <w:szCs w:val="24"/>
        </w:rPr>
        <w:t>7、</w:t>
      </w:r>
      <w:r>
        <w:rPr>
          <w:sz w:val="24"/>
          <w:szCs w:val="24"/>
        </w:rPr>
        <w:t>应当尽可能将货物的配置列全、列细，这将有助于投标方胜出。</w:t>
      </w:r>
    </w:p>
    <w:p w14:paraId="5C1B33D6">
      <w:pPr>
        <w:spacing w:line="360" w:lineRule="auto"/>
        <w:rPr>
          <w:sz w:val="24"/>
          <w:szCs w:val="24"/>
        </w:rPr>
      </w:pPr>
      <w:r>
        <w:rPr>
          <w:rFonts w:hint="eastAsia"/>
          <w:sz w:val="24"/>
          <w:szCs w:val="24"/>
        </w:rPr>
        <w:t>8、</w:t>
      </w:r>
      <w:r>
        <w:rPr>
          <w:sz w:val="24"/>
          <w:szCs w:val="24"/>
        </w:rPr>
        <w:t>单价与总价之间、总价与分类小计价之间、分类小计价与合计价之间数据应当齐全而且准确。</w:t>
      </w:r>
    </w:p>
    <w:p w14:paraId="1F8FC6A8">
      <w:pPr>
        <w:spacing w:line="360" w:lineRule="auto"/>
        <w:rPr>
          <w:sz w:val="24"/>
          <w:szCs w:val="24"/>
        </w:rPr>
      </w:pPr>
      <w:r>
        <w:rPr>
          <w:rFonts w:hint="eastAsia"/>
          <w:sz w:val="24"/>
          <w:szCs w:val="24"/>
        </w:rPr>
        <w:t>9、</w:t>
      </w:r>
      <w:r>
        <w:rPr>
          <w:sz w:val="24"/>
          <w:szCs w:val="24"/>
        </w:rPr>
        <w:t>本条款表格中的制造商，应当为全称或公认的简称。</w:t>
      </w:r>
    </w:p>
    <w:p w14:paraId="68332CFF">
      <w:pPr>
        <w:spacing w:line="360" w:lineRule="auto"/>
        <w:rPr>
          <w:rFonts w:ascii="黑体" w:hAnsi="黑体" w:eastAsia="黑体" w:cs="黑体"/>
          <w:sz w:val="24"/>
          <w:szCs w:val="24"/>
        </w:rPr>
      </w:pPr>
      <w:r>
        <w:rPr>
          <w:rFonts w:hint="eastAsia" w:ascii="黑体" w:hAnsi="黑体" w:eastAsia="黑体" w:cs="黑体"/>
          <w:sz w:val="24"/>
          <w:szCs w:val="24"/>
        </w:rPr>
        <w:t>二、技术档中货物报价格式要求</w:t>
      </w:r>
    </w:p>
    <w:p w14:paraId="2E08AE11">
      <w:pPr>
        <w:spacing w:line="360" w:lineRule="auto"/>
        <w:rPr>
          <w:sz w:val="24"/>
          <w:szCs w:val="24"/>
        </w:rPr>
      </w:pPr>
      <w:r>
        <w:rPr>
          <w:sz w:val="24"/>
          <w:szCs w:val="24"/>
        </w:rPr>
        <w:t>1、投标技术档中，如未按照要求编写、或者存在漏项和缺项，将有可能造成对投标方不必要的误解；必要时，漏项和缺项涉及的费用，将有可能以其他投标方中，相同或相似项目的最高价，计入投标方的投标总报价之内，作为评标的依据之一。</w:t>
      </w:r>
    </w:p>
    <w:p w14:paraId="7DDD0C3C">
      <w:pPr>
        <w:spacing w:line="360" w:lineRule="auto"/>
        <w:rPr>
          <w:sz w:val="24"/>
          <w:szCs w:val="24"/>
        </w:rPr>
      </w:pPr>
      <w:r>
        <w:rPr>
          <w:sz w:val="24"/>
          <w:szCs w:val="24"/>
        </w:rPr>
        <w:t>2、如果投标总报价与其它价格出现错误或不一致，将有可能导致废标。</w:t>
      </w:r>
    </w:p>
    <w:p w14:paraId="7888295A">
      <w:pPr>
        <w:spacing w:line="360" w:lineRule="auto"/>
        <w:rPr>
          <w:sz w:val="24"/>
          <w:szCs w:val="24"/>
        </w:rPr>
      </w:pPr>
      <w:r>
        <w:rPr>
          <w:sz w:val="24"/>
          <w:szCs w:val="24"/>
        </w:rPr>
        <w:t>3、投标总报价为自合同签定生效至合同无异议执行完毕涉及的买方需要支付的全部费用。如投标方认为本招标及投标货物涉及特需或专门的设计，应当单独列明设计费。</w:t>
      </w:r>
    </w:p>
    <w:p w14:paraId="2F18E451">
      <w:pPr>
        <w:spacing w:line="360" w:lineRule="auto"/>
        <w:rPr>
          <w:sz w:val="24"/>
          <w:szCs w:val="24"/>
        </w:rPr>
      </w:pPr>
      <w:r>
        <w:rPr>
          <w:rFonts w:hint="eastAsia"/>
          <w:sz w:val="24"/>
          <w:szCs w:val="24"/>
        </w:rPr>
        <w:t>4</w:t>
      </w:r>
      <w:r>
        <w:rPr>
          <w:sz w:val="24"/>
          <w:szCs w:val="24"/>
        </w:rPr>
        <w:t>、要求投标总报价、分项报价、明细报价之间应当具有相互间对应关系以及填报分项和明细报价，仅为便于评标而不妨碍投标人以最合适的形式签署合同。</w:t>
      </w:r>
    </w:p>
    <w:p w14:paraId="4FA6989F">
      <w:pPr>
        <w:spacing w:line="360" w:lineRule="auto"/>
        <w:rPr>
          <w:rFonts w:ascii="黑体" w:hAnsi="黑体" w:eastAsia="黑体" w:cs="黑体"/>
          <w:sz w:val="24"/>
          <w:szCs w:val="24"/>
        </w:rPr>
      </w:pPr>
      <w:r>
        <w:rPr>
          <w:rFonts w:hint="eastAsia" w:ascii="黑体" w:hAnsi="黑体" w:eastAsia="黑体" w:cs="黑体"/>
          <w:sz w:val="24"/>
          <w:szCs w:val="24"/>
        </w:rPr>
        <w:t>三、验收标准及内容要求</w:t>
      </w:r>
    </w:p>
    <w:p w14:paraId="2EF7D79A">
      <w:pPr>
        <w:spacing w:line="360" w:lineRule="auto"/>
        <w:ind w:firstLine="420"/>
        <w:rPr>
          <w:sz w:val="24"/>
          <w:szCs w:val="24"/>
        </w:rPr>
      </w:pPr>
      <w:r>
        <w:rPr>
          <w:rFonts w:hint="eastAsia"/>
          <w:sz w:val="24"/>
          <w:szCs w:val="24"/>
        </w:rPr>
        <w:t>除招标档明确的验收标准或内容之外，投标方应当在投标档中提供预验收（必要时）和终验收的标准以及规程；在合同签定之前，经投标方和招标方双方洽谈确认并签署，以作为验收标准执行。</w:t>
      </w:r>
    </w:p>
    <w:p w14:paraId="4A0C60D4">
      <w:pPr>
        <w:spacing w:line="360" w:lineRule="auto"/>
        <w:jc w:val="center"/>
        <w:rPr>
          <w:b/>
          <w:bCs/>
          <w:sz w:val="28"/>
          <w:szCs w:val="28"/>
        </w:rPr>
      </w:pPr>
      <w:r>
        <w:rPr>
          <w:rFonts w:hint="eastAsia"/>
          <w:b/>
          <w:bCs/>
          <w:sz w:val="28"/>
          <w:szCs w:val="28"/>
        </w:rPr>
        <w:t>第七章  其他要求及说明</w:t>
      </w:r>
    </w:p>
    <w:p w14:paraId="58F9E3FA">
      <w:pPr>
        <w:spacing w:line="360" w:lineRule="auto"/>
        <w:rPr>
          <w:rFonts w:ascii="黑体" w:hAnsi="黑体" w:eastAsia="黑体" w:cs="黑体"/>
          <w:sz w:val="24"/>
          <w:szCs w:val="24"/>
        </w:rPr>
      </w:pPr>
      <w:r>
        <w:rPr>
          <w:rFonts w:hint="eastAsia" w:ascii="黑体" w:hAnsi="黑体" w:eastAsia="黑体" w:cs="黑体"/>
          <w:sz w:val="24"/>
          <w:szCs w:val="24"/>
        </w:rPr>
        <w:t>一、要求</w:t>
      </w:r>
    </w:p>
    <w:p w14:paraId="7CE8CF12">
      <w:pPr>
        <w:spacing w:line="360" w:lineRule="auto"/>
        <w:ind w:firstLine="420"/>
        <w:rPr>
          <w:sz w:val="24"/>
          <w:szCs w:val="24"/>
        </w:rPr>
      </w:pPr>
      <w:r>
        <w:rPr>
          <w:rFonts w:hint="eastAsia"/>
          <w:sz w:val="24"/>
          <w:szCs w:val="24"/>
        </w:rPr>
        <w:t>为保证本技术标书所列采购货物的质量以及先进性、可靠性、经济性和实用性，要求投标方在投标档中，至少应具备以下资格证明档或资料：</w:t>
      </w:r>
    </w:p>
    <w:p w14:paraId="47676904">
      <w:pPr>
        <w:spacing w:line="360" w:lineRule="auto"/>
        <w:rPr>
          <w:sz w:val="24"/>
          <w:szCs w:val="24"/>
        </w:rPr>
      </w:pPr>
      <w:r>
        <w:rPr>
          <w:rFonts w:hint="eastAsia"/>
          <w:sz w:val="24"/>
          <w:szCs w:val="24"/>
        </w:rPr>
        <w:t>1、投标方应是独立法人或得到法人授权的机构。应当在投标档中提供法人营业执照（复印件）、税务登记证以及组织机构代码证（国际供应商参考该要求提供有效证明档），并保证其真实性和有效性。</w:t>
      </w:r>
    </w:p>
    <w:p w14:paraId="6D1DA604">
      <w:pPr>
        <w:spacing w:line="360" w:lineRule="auto"/>
        <w:rPr>
          <w:rFonts w:ascii="Times New Roman" w:hAnsi="Times New Roman" w:cs="Times New Roman"/>
          <w:sz w:val="24"/>
          <w:szCs w:val="24"/>
        </w:rPr>
      </w:pPr>
      <w:r>
        <w:rPr>
          <w:rFonts w:hint="eastAsia"/>
          <w:sz w:val="24"/>
          <w:szCs w:val="24"/>
        </w:rPr>
        <w:t>2、必须附有：2022年1月1日以来同类产品的制造销售业绩（用户名单、联系方式），并附合同复印件。该同类项目业绩一览表必须如实填写，应全尽全；一览表最终的所有业绩合同总额汇总必填，此项很重要，数据将影响现场评标专家组对投标单位的业绩考评。若未提供相应业绩证明，根据技术标评分规则，将影响现场评标专家组对投标单位业绩判定打分。</w:t>
      </w:r>
    </w:p>
    <w:p w14:paraId="6BE43971">
      <w:pPr>
        <w:spacing w:line="360" w:lineRule="auto"/>
        <w:rPr>
          <w:rFonts w:ascii="黑体" w:hAnsi="黑体" w:eastAsia="黑体" w:cs="黑体"/>
          <w:sz w:val="24"/>
          <w:szCs w:val="24"/>
        </w:rPr>
      </w:pPr>
      <w:r>
        <w:rPr>
          <w:rFonts w:hint="eastAsia" w:ascii="黑体" w:hAnsi="黑体" w:eastAsia="黑体" w:cs="黑体"/>
          <w:sz w:val="24"/>
          <w:szCs w:val="24"/>
        </w:rPr>
        <w:t>二、说明</w:t>
      </w:r>
    </w:p>
    <w:p w14:paraId="5EB63BAD">
      <w:pPr>
        <w:spacing w:line="360" w:lineRule="auto"/>
        <w:rPr>
          <w:sz w:val="24"/>
          <w:szCs w:val="24"/>
        </w:rPr>
      </w:pPr>
      <w:r>
        <w:rPr>
          <w:sz w:val="24"/>
          <w:szCs w:val="24"/>
        </w:rPr>
        <w:t>1、投标方可以根据自身的技术、经验等优势以及对招标档和本技术标书的理解，写明对招标方所采购货物的优化方案或建议意见。投标方的这些努力，招标方表示感谢，并将有助于投标方优先胜出。</w:t>
      </w:r>
    </w:p>
    <w:p w14:paraId="52254459">
      <w:pPr>
        <w:spacing w:line="360" w:lineRule="auto"/>
        <w:rPr>
          <w:sz w:val="24"/>
          <w:szCs w:val="24"/>
        </w:rPr>
      </w:pPr>
      <w:r>
        <w:rPr>
          <w:sz w:val="24"/>
          <w:szCs w:val="24"/>
        </w:rPr>
        <w:t>2、即使有建议意见或建议方案，仍应依据招标档和本技术标书要求，编写符合要求的投标档。建议方案或建议意见，应以单独篇章或档，予以说明和报价。</w:t>
      </w:r>
    </w:p>
    <w:p w14:paraId="2B3AC318">
      <w:pPr>
        <w:spacing w:line="360" w:lineRule="auto"/>
        <w:rPr>
          <w:sz w:val="24"/>
          <w:szCs w:val="24"/>
        </w:rPr>
      </w:pPr>
      <w:r>
        <w:rPr>
          <w:rFonts w:hint="eastAsia"/>
          <w:sz w:val="24"/>
          <w:szCs w:val="24"/>
        </w:rPr>
        <w:t>3</w:t>
      </w:r>
      <w:r>
        <w:rPr>
          <w:sz w:val="24"/>
          <w:szCs w:val="24"/>
        </w:rPr>
        <w:t>、招标档、投标档、答疑档、技术交流档、技术协议书等，在采购过程全部为有效档，如有差异，以对招标方最有利的条款为准。</w:t>
      </w:r>
    </w:p>
    <w:p w14:paraId="71D6F7A2">
      <w:pPr>
        <w:spacing w:line="360" w:lineRule="auto"/>
        <w:rPr>
          <w:sz w:val="24"/>
          <w:szCs w:val="24"/>
        </w:rPr>
      </w:pPr>
      <w:r>
        <w:rPr>
          <w:rFonts w:hint="eastAsia"/>
          <w:sz w:val="24"/>
          <w:szCs w:val="24"/>
        </w:rPr>
        <w:t>4、为避免歧义，本技术标书涉及招投标环节的条款，均将潜在的卖方称为投标方、将买方称为招标方；定标后合同签署环节以及后续的合同执行环节条款，招标方称为买方、投标方中的中标方称为卖方。</w:t>
      </w:r>
      <w:bookmarkEnd w:id="13"/>
    </w:p>
    <w:p w14:paraId="22A08ACD">
      <w:pPr>
        <w:pStyle w:val="76"/>
        <w:rPr>
          <w:b w:val="0"/>
          <w:bCs w:val="0"/>
        </w:rPr>
      </w:pPr>
    </w:p>
    <w:p w14:paraId="41362990">
      <w:pPr>
        <w:pStyle w:val="76"/>
        <w:rPr>
          <w:b/>
          <w:bCs/>
        </w:rPr>
      </w:pPr>
    </w:p>
    <w:p w14:paraId="56105630">
      <w:pPr>
        <w:rPr>
          <w:rFonts w:ascii="宋体" w:hAnsi="宋体"/>
          <w:b/>
          <w:sz w:val="28"/>
          <w:szCs w:val="28"/>
        </w:rPr>
      </w:pPr>
      <w:bookmarkStart w:id="19" w:name="_Toc47976609"/>
      <w:r>
        <w:rPr>
          <w:rFonts w:hint="eastAsia"/>
        </w:rPr>
        <w:br w:type="page"/>
      </w:r>
      <w:bookmarkEnd w:id="19"/>
    </w:p>
    <w:p w14:paraId="71B3C43D">
      <w:pPr>
        <w:rPr>
          <w:rFonts w:hint="eastAsia"/>
        </w:rPr>
      </w:pPr>
      <w:bookmarkStart w:id="20" w:name="_Toc47976615"/>
    </w:p>
    <w:p w14:paraId="1A67A1AE">
      <w:pPr>
        <w:rPr>
          <w:rFonts w:hint="eastAsia"/>
        </w:rPr>
      </w:pPr>
    </w:p>
    <w:p w14:paraId="50D9D845">
      <w:pPr>
        <w:pStyle w:val="71"/>
        <w:rPr>
          <w:rFonts w:ascii="黑体" w:hAnsi="Calibri" w:eastAsia="黑体" w:cs="Times New Roman"/>
          <w:color w:val="000000"/>
          <w:sz w:val="24"/>
          <w:szCs w:val="24"/>
        </w:rPr>
      </w:pPr>
      <w:bookmarkStart w:id="21" w:name="_Toc16500"/>
      <w:r>
        <w:rPr>
          <w:rFonts w:hint="eastAsia"/>
        </w:rPr>
        <w:t>第</w:t>
      </w:r>
      <w:r>
        <w:rPr>
          <w:rFonts w:hint="eastAsia"/>
          <w:lang w:val="en-US" w:eastAsia="zh-CN"/>
        </w:rPr>
        <w:t>三</w:t>
      </w:r>
      <w:r>
        <w:rPr>
          <w:rFonts w:hint="eastAsia"/>
        </w:rPr>
        <w:t>部分　</w:t>
      </w:r>
      <w:bookmarkEnd w:id="20"/>
      <w:r>
        <w:rPr>
          <w:rFonts w:hint="eastAsia"/>
          <w:lang w:val="en-US" w:eastAsia="zh-CN"/>
        </w:rPr>
        <w:t>投标文件附件</w:t>
      </w:r>
      <w:bookmarkEnd w:id="21"/>
    </w:p>
    <w:p w14:paraId="32681108">
      <w:pPr>
        <w:jc w:val="both"/>
        <w:rPr>
          <w:rFonts w:ascii="宋体"/>
          <w:b/>
          <w:color w:val="000000"/>
          <w:szCs w:val="24"/>
        </w:rPr>
      </w:pPr>
    </w:p>
    <w:p w14:paraId="6220DDA8">
      <w:pPr>
        <w:pStyle w:val="2"/>
      </w:pPr>
    </w:p>
    <w:p w14:paraId="34291980">
      <w:pPr>
        <w:pStyle w:val="72"/>
        <w:numPr>
          <w:ilvl w:val="0"/>
          <w:numId w:val="0"/>
        </w:numPr>
        <w:ind w:leftChars="0"/>
        <w:outlineLvl w:val="1"/>
        <w:rPr>
          <w:rFonts w:hint="default" w:ascii="宋体" w:hAnsi="宋体" w:eastAsia="宋体" w:cs="宋体"/>
          <w:sz w:val="32"/>
          <w:szCs w:val="32"/>
          <w:highlight w:val="yellow"/>
          <w:lang w:val="en-US" w:eastAsia="zh-CN"/>
        </w:rPr>
      </w:pPr>
      <w:bookmarkStart w:id="22" w:name="_Toc47976618"/>
      <w:bookmarkStart w:id="23" w:name="_Toc29366869"/>
      <w:bookmarkStart w:id="24" w:name="_Toc29366865"/>
      <w:r>
        <w:rPr>
          <w:rFonts w:hint="eastAsia" w:ascii="宋体" w:hAnsi="宋体" w:eastAsia="宋体" w:cs="宋体"/>
          <w:sz w:val="32"/>
          <w:szCs w:val="32"/>
          <w:highlight w:val="none"/>
          <w:lang w:val="en-US" w:eastAsia="zh-CN"/>
        </w:rPr>
        <w:t>附件1 法定代表人授权委托书</w:t>
      </w:r>
    </w:p>
    <w:bookmarkEnd w:id="22"/>
    <w:p w14:paraId="5121093B">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80342E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cs="Times New Roman"/>
          <w:b/>
          <w:bCs/>
          <w:color w:val="000000"/>
          <w:sz w:val="24"/>
          <w:szCs w:val="24"/>
          <w:highlight w:val="none"/>
          <w:u w:val="single"/>
          <w:lang w:val="en-US" w:eastAsia="zh-CN"/>
        </w:rPr>
        <w:t>机械加工设备更新改造项目 子项3：中走丝线切割机床更新项目</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F8F578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0B7C1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A69F347">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427685B">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6609A01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73B5E5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F6925F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85FAE3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A49D1B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74AA84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2D6CAE40">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191ECA72">
      <w:pPr>
        <w:pStyle w:val="2"/>
        <w:rPr>
          <w:rFonts w:ascii="Calibri" w:hAnsi="Calibri" w:eastAsia="黑体" w:cs="Times New Roman"/>
          <w:b/>
          <w:bCs/>
          <w:color w:val="000000"/>
          <w:sz w:val="28"/>
          <w:szCs w:val="20"/>
        </w:rPr>
        <w:sectPr>
          <w:footerReference r:id="rId11" w:type="first"/>
          <w:headerReference r:id="rId9" w:type="default"/>
          <w:footerReference r:id="rId10" w:type="default"/>
          <w:pgSz w:w="11906" w:h="16838"/>
          <w:pgMar w:top="1588" w:right="1418" w:bottom="1134" w:left="1418" w:header="851" w:footer="992" w:gutter="0"/>
          <w:cols w:space="720" w:num="1"/>
          <w:titlePg/>
          <w:docGrid w:type="lines" w:linePitch="312" w:charSpace="0"/>
        </w:sectPr>
      </w:pPr>
    </w:p>
    <w:p w14:paraId="396A5D81">
      <w:pPr>
        <w:pStyle w:val="7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投标人基本情况及资产情况汇总表</w:t>
      </w:r>
    </w:p>
    <w:p w14:paraId="58088325">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1 投标人基本情况表</w:t>
      </w:r>
    </w:p>
    <w:p w14:paraId="0144CA54">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投标人基本情况表</w:t>
      </w:r>
    </w:p>
    <w:tbl>
      <w:tblPr>
        <w:tblStyle w:val="11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2"/>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2"/>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2"/>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2"/>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2"/>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2"/>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2"/>
              <w:spacing w:before="111"/>
              <w:ind w:left="509"/>
              <w:rPr>
                <w:highlight w:val="yellow"/>
              </w:rPr>
            </w:pPr>
            <w:r>
              <w:t xml:space="preserve">企业法人代表  </w:t>
            </w:r>
          </w:p>
        </w:tc>
        <w:tc>
          <w:tcPr>
            <w:tcW w:w="4680" w:type="dxa"/>
            <w:gridSpan w:val="4"/>
          </w:tcPr>
          <w:p w14:paraId="4B5F8599">
            <w:pPr>
              <w:pStyle w:val="5"/>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2"/>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2"/>
              <w:spacing w:before="114"/>
              <w:ind w:left="720"/>
            </w:pPr>
            <w:r>
              <w:t xml:space="preserve">品牌区分 </w:t>
            </w:r>
          </w:p>
        </w:tc>
        <w:tc>
          <w:tcPr>
            <w:tcW w:w="7500" w:type="dxa"/>
            <w:gridSpan w:val="6"/>
          </w:tcPr>
          <w:p w14:paraId="3BAE0FF2">
            <w:pPr>
              <w:pStyle w:val="112"/>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2"/>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2"/>
              <w:spacing w:before="15"/>
              <w:ind w:left="279"/>
            </w:pPr>
            <w:r>
              <w:rPr>
                <w:spacing w:val="-2"/>
              </w:rPr>
              <w:t>质量</w:t>
            </w:r>
            <w:r>
              <w:t xml:space="preserve"> </w:t>
            </w:r>
          </w:p>
          <w:p w14:paraId="38F7D920">
            <w:pPr>
              <w:pStyle w:val="112"/>
              <w:spacing w:before="30" w:line="277" w:lineRule="exact"/>
              <w:ind w:left="279"/>
            </w:pPr>
            <w:r>
              <w:rPr>
                <w:rFonts w:hint="eastAsia"/>
              </w:rPr>
              <w:t>体系</w:t>
            </w:r>
          </w:p>
        </w:tc>
        <w:tc>
          <w:tcPr>
            <w:tcW w:w="2820" w:type="dxa"/>
            <w:gridSpan w:val="2"/>
          </w:tcPr>
          <w:p w14:paraId="53E9DAB1">
            <w:pPr>
              <w:pStyle w:val="112"/>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2"/>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2"/>
        <w:rPr>
          <w:rFonts w:ascii="Times New Roman" w:hAnsi="Times New Roman" w:eastAsia="宋体" w:cs="Times New Roman"/>
          <w:b/>
          <w:bCs/>
          <w:color w:val="000000"/>
          <w:sz w:val="24"/>
          <w:szCs w:val="24"/>
        </w:rPr>
      </w:pPr>
    </w:p>
    <w:p w14:paraId="37100778">
      <w:pPr>
        <w:pStyle w:val="2"/>
        <w:rPr>
          <w:rFonts w:ascii="Times New Roman" w:hAnsi="Times New Roman" w:eastAsia="宋体" w:cs="Times New Roman"/>
          <w:b/>
          <w:bCs/>
          <w:color w:val="000000"/>
          <w:sz w:val="24"/>
          <w:szCs w:val="24"/>
        </w:rPr>
      </w:pPr>
    </w:p>
    <w:p w14:paraId="39756F36">
      <w:pPr>
        <w:pStyle w:val="2"/>
        <w:rPr>
          <w:rFonts w:ascii="Times New Roman" w:hAnsi="Times New Roman" w:eastAsia="宋体" w:cs="Times New Roman"/>
          <w:b/>
          <w:bCs/>
          <w:color w:val="000000"/>
          <w:sz w:val="24"/>
          <w:szCs w:val="24"/>
        </w:rPr>
      </w:pPr>
    </w:p>
    <w:p w14:paraId="527F4C72">
      <w:pPr>
        <w:pStyle w:val="2"/>
        <w:rPr>
          <w:rFonts w:ascii="Times New Roman" w:hAnsi="Times New Roman" w:eastAsia="宋体" w:cs="Times New Roman"/>
          <w:b/>
          <w:bCs/>
          <w:color w:val="000000"/>
          <w:sz w:val="24"/>
          <w:szCs w:val="24"/>
        </w:rPr>
      </w:pPr>
    </w:p>
    <w:p w14:paraId="0FDAE4A3">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2 资产情况汇总表</w:t>
      </w:r>
    </w:p>
    <w:p w14:paraId="54D6387F">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资产情况汇总表</w:t>
      </w:r>
    </w:p>
    <w:p w14:paraId="14935736">
      <w:pPr>
        <w:bidi w:val="0"/>
        <w:rPr>
          <w:rFonts w:hint="eastAsia"/>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9047A1A">
      <w:pPr>
        <w:rPr>
          <w:rFonts w:ascii="宋体" w:hAnsi="Calibri" w:eastAsia="宋体" w:cs="宋体"/>
          <w:b/>
          <w:bCs/>
          <w:color w:val="000000"/>
          <w:sz w:val="28"/>
          <w:szCs w:val="20"/>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机械加工设备更新改造项目 子项3：中走丝线切割机床更新项目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66A3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bookmarkEnd w:id="23"/>
    <w:bookmarkEnd w:id="24"/>
    <w:p w14:paraId="38EF994B">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53E6B306">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开标一览表</w:t>
      </w:r>
    </w:p>
    <w:p w14:paraId="769BF465">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机械加工设备更新改造项目 子项3：中走丝线切割机床更新项目    </w:t>
      </w:r>
      <w:r>
        <w:rPr>
          <w:rFonts w:ascii="宋体" w:hAnsi="宋体" w:eastAsia="宋体" w:cs="Times New Roman"/>
          <w:color w:val="000000"/>
          <w:sz w:val="24"/>
          <w:szCs w:val="24"/>
        </w:rPr>
        <w:t xml:space="preserve">                                                        </w:t>
      </w:r>
    </w:p>
    <w:tbl>
      <w:tblPr>
        <w:tblStyle w:val="30"/>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43B51BBB">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质保期</w:t>
            </w:r>
          </w:p>
        </w:tc>
        <w:tc>
          <w:tcPr>
            <w:tcW w:w="1243" w:type="dxa"/>
            <w:vAlign w:val="center"/>
          </w:tcPr>
          <w:p w14:paraId="5BE19F44">
            <w:pPr>
              <w:jc w:val="center"/>
              <w:rPr>
                <w:rFonts w:hint="default" w:ascii="Times New Roman" w:hAnsi="Times New Roman" w:eastAsia="宋体" w:cs="Times New Roman"/>
                <w:b/>
                <w:szCs w:val="20"/>
                <w:lang w:val="en-US" w:eastAsia="zh-CN"/>
              </w:rPr>
            </w:pPr>
            <w:r>
              <w:rPr>
                <w:rFonts w:hint="eastAsia" w:cs="Times New Roman"/>
                <w:b/>
                <w:szCs w:val="20"/>
                <w:highlight w:val="cyan"/>
                <w:lang w:val="en-US" w:eastAsia="zh-CN"/>
              </w:rPr>
              <w:t>交货期</w:t>
            </w:r>
          </w:p>
        </w:tc>
        <w:tc>
          <w:tcPr>
            <w:tcW w:w="705" w:type="dxa"/>
            <w:vAlign w:val="center"/>
          </w:tcPr>
          <w:p w14:paraId="669E8072">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付款方式及比例如何响应</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eastAsia"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1E0AF0C2">
            <w:pPr>
              <w:jc w:val="center"/>
              <w:rPr>
                <w:rFonts w:ascii="Times New Roman" w:hAnsi="Times New Roman" w:eastAsia="宋体" w:cs="Times New Roman"/>
                <w:b/>
                <w:szCs w:val="20"/>
              </w:rPr>
            </w:pPr>
          </w:p>
        </w:tc>
        <w:tc>
          <w:tcPr>
            <w:tcW w:w="1243" w:type="dxa"/>
            <w:vAlign w:val="center"/>
          </w:tcPr>
          <w:p w14:paraId="2E7E4711">
            <w:pPr>
              <w:jc w:val="center"/>
              <w:rPr>
                <w:rFonts w:ascii="Times New Roman" w:hAnsi="Times New Roman" w:eastAsia="宋体" w:cs="Times New Roman"/>
                <w:b/>
                <w:szCs w:val="20"/>
              </w:rPr>
            </w:pPr>
          </w:p>
        </w:tc>
        <w:tc>
          <w:tcPr>
            <w:tcW w:w="705" w:type="dxa"/>
            <w:vAlign w:val="center"/>
          </w:tcPr>
          <w:p w14:paraId="2516E96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hint="eastAsia"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6381D8BE">
      <w:pPr>
        <w:spacing w:line="300" w:lineRule="auto"/>
        <w:rPr>
          <w:rFonts w:hint="eastAsia" w:ascii="宋体" w:hAnsi="宋体" w:eastAsia="宋体" w:cs="宋体"/>
          <w:b/>
          <w:szCs w:val="20"/>
          <w:lang w:val="en-US" w:eastAsia="zh-CN"/>
        </w:rPr>
      </w:pPr>
      <w:r>
        <w:rPr>
          <w:rFonts w:hint="eastAsia" w:ascii="宋体" w:hAnsi="宋体" w:eastAsia="宋体" w:cs="宋体"/>
          <w:b/>
          <w:szCs w:val="20"/>
          <w:lang w:val="en-US" w:eastAsia="zh-CN"/>
        </w:rPr>
        <w:t>3</w:t>
      </w:r>
      <w:r>
        <w:rPr>
          <w:rFonts w:hint="eastAsia" w:ascii="宋体" w:hAnsi="宋体" w:eastAsia="宋体" w:cs="宋体"/>
          <w:b/>
          <w:szCs w:val="20"/>
        </w:rPr>
        <w:t>.投标总价包括设备费、调试费、备品备件、特殊工具、运杂费、装卸费、技术服务费、保险费及增值税和其它税费。</w:t>
      </w:r>
    </w:p>
    <w:p w14:paraId="7CA9A866">
      <w:pPr>
        <w:pStyle w:val="2"/>
        <w:rPr>
          <w:rFonts w:hint="eastAsia" w:hAnsi="宋体" w:eastAsia="宋体" w:cs="Times New Roman"/>
          <w:b/>
          <w:bCs/>
          <w:szCs w:val="21"/>
          <w:highlight w:val="yellow"/>
        </w:rPr>
      </w:pPr>
    </w:p>
    <w:p w14:paraId="31061A95">
      <w:pPr>
        <w:pStyle w:val="2"/>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6"/>
        <w:bidi w:val="0"/>
      </w:pPr>
      <w:r>
        <w:t xml:space="preserve"> </w:t>
      </w:r>
    </w:p>
    <w:p w14:paraId="36B9F02A">
      <w:pPr>
        <w:pStyle w:val="76"/>
        <w:bidi w:val="0"/>
      </w:pPr>
    </w:p>
    <w:p w14:paraId="6E7F97B7">
      <w:pPr>
        <w:pStyle w:val="76"/>
        <w:bidi w:val="0"/>
      </w:pPr>
    </w:p>
    <w:p w14:paraId="0A484835">
      <w:pPr>
        <w:rPr>
          <w:rFonts w:hint="eastAsia" w:ascii="宋体" w:hAnsi="宋体" w:eastAsia="宋体" w:cs="宋体"/>
          <w:sz w:val="32"/>
          <w:szCs w:val="32"/>
          <w:highlight w:val="none"/>
          <w:lang w:val="en-US" w:eastAsia="zh-CN"/>
        </w:rPr>
      </w:pPr>
      <w:bookmarkStart w:id="25" w:name="_Toc47976616"/>
      <w:bookmarkStart w:id="26" w:name="_Toc4225"/>
      <w:r>
        <w:rPr>
          <w:rFonts w:hint="eastAsia" w:ascii="宋体" w:hAnsi="宋体" w:eastAsia="宋体" w:cs="宋体"/>
          <w:sz w:val="32"/>
          <w:szCs w:val="32"/>
          <w:highlight w:val="none"/>
          <w:lang w:val="en-US" w:eastAsia="zh-CN"/>
        </w:rPr>
        <w:br w:type="page"/>
      </w:r>
    </w:p>
    <w:p w14:paraId="230754D8">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w:t>
      </w:r>
      <w:bookmarkEnd w:id="25"/>
      <w:bookmarkEnd w:id="26"/>
      <w:r>
        <w:rPr>
          <w:rFonts w:hint="eastAsia" w:ascii="宋体" w:hAnsi="宋体" w:eastAsia="宋体" w:cs="宋体"/>
          <w:sz w:val="32"/>
          <w:szCs w:val="32"/>
          <w:highlight w:val="none"/>
          <w:lang w:val="en-US" w:eastAsia="zh-CN"/>
        </w:rPr>
        <w:t>5 投标函</w:t>
      </w:r>
    </w:p>
    <w:p w14:paraId="78BEF19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1A7AA2F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lang w:val="en-US" w:eastAsia="zh-CN"/>
        </w:rPr>
        <w:t>济南动力</w:t>
      </w:r>
      <w:r>
        <w:rPr>
          <w:rFonts w:hint="eastAsia" w:ascii="宋体" w:hAnsi="宋体" w:eastAsia="宋体" w:cs="Times New Roman"/>
          <w:color w:val="000000"/>
          <w:sz w:val="24"/>
          <w:szCs w:val="24"/>
        </w:rPr>
        <w:t>有限公司：</w:t>
      </w:r>
    </w:p>
    <w:p w14:paraId="251C176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w:t>
      </w:r>
      <w:r>
        <w:rPr>
          <w:rFonts w:hint="eastAsia" w:ascii="宋体" w:hAnsi="宋体" w:eastAsia="宋体" w:cs="Times New Roman"/>
          <w:color w:val="000000"/>
          <w:sz w:val="24"/>
          <w:szCs w:val="24"/>
          <w:highlight w:val="none"/>
        </w:rPr>
        <w:t>方</w:t>
      </w:r>
      <w:r>
        <w:rPr>
          <w:rFonts w:hint="eastAsia" w:ascii="宋体" w:hAnsi="宋体" w:cs="Times New Roman"/>
          <w:color w:val="000000"/>
          <w:sz w:val="24"/>
          <w:szCs w:val="24"/>
          <w:highlight w:val="none"/>
          <w:u w:val="single"/>
          <w:lang w:val="en-US" w:eastAsia="zh-CN"/>
        </w:rPr>
        <w:t>机械加工设备更新改造项目 子项3：中走丝线切割机床更新项目</w:t>
      </w:r>
      <w:r>
        <w:rPr>
          <w:rFonts w:hint="eastAsia" w:ascii="宋体" w:hAnsi="宋体" w:eastAsia="宋体" w:cs="Times New Roman"/>
          <w:bCs/>
          <w:snapToGrid w:val="0"/>
          <w:color w:val="000000"/>
          <w:kern w:val="0"/>
          <w:sz w:val="24"/>
          <w:szCs w:val="24"/>
          <w:highlight w:val="none"/>
        </w:rPr>
        <w:t>招</w:t>
      </w:r>
      <w:r>
        <w:rPr>
          <w:rFonts w:hint="eastAsia" w:ascii="宋体" w:hAnsi="宋体" w:eastAsia="宋体" w:cs="Times New Roman"/>
          <w:bCs/>
          <w:snapToGrid w:val="0"/>
          <w:color w:val="000000"/>
          <w:kern w:val="0"/>
          <w:sz w:val="24"/>
          <w:szCs w:val="24"/>
        </w:rPr>
        <w:t>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cs="Times New Roman"/>
          <w:color w:val="000000"/>
          <w:sz w:val="24"/>
          <w:szCs w:val="24"/>
          <w:lang w:val="en-US" w:eastAsia="zh-CN"/>
        </w:rPr>
        <w:t>电子版</w:t>
      </w:r>
      <w:r>
        <w:rPr>
          <w:rFonts w:hint="eastAsia" w:ascii="宋体" w:hAnsi="宋体" w:eastAsia="宋体" w:cs="Times New Roman"/>
          <w:color w:val="000000"/>
          <w:sz w:val="24"/>
          <w:szCs w:val="24"/>
        </w:rPr>
        <w:t>投标文件：资质证明文件、商务文件和技术文件。</w:t>
      </w:r>
    </w:p>
    <w:p w14:paraId="65C45EA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0880B3E">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6066011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5B0FEC9">
      <w:pPr>
        <w:spacing w:line="360" w:lineRule="auto"/>
        <w:ind w:firstLine="480" w:firstLineChars="200"/>
        <w:rPr>
          <w:rFonts w:hint="eastAsia" w:ascii="宋体" w:hAnsi="宋体" w:eastAsia="宋体" w:cs="Times New Roman"/>
          <w:color w:val="000000"/>
          <w:sz w:val="24"/>
          <w:szCs w:val="24"/>
          <w:lang w:eastAsia="zh-CN"/>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hint="eastAsia" w:ascii="宋体" w:hAnsi="宋体" w:cs="Times New Roman"/>
          <w:color w:val="000000"/>
          <w:sz w:val="24"/>
          <w:szCs w:val="24"/>
          <w:lang w:val="en-US" w:eastAsia="zh-CN"/>
        </w:rPr>
        <w:t>90</w:t>
      </w:r>
      <w:r>
        <w:rPr>
          <w:rFonts w:hint="eastAsia" w:ascii="宋体" w:hAnsi="宋体" w:eastAsia="宋体" w:cs="Times New Roman"/>
          <w:color w:val="000000"/>
          <w:sz w:val="24"/>
          <w:szCs w:val="24"/>
        </w:rPr>
        <w:t>个日历日。</w:t>
      </w:r>
    </w:p>
    <w:p w14:paraId="48E1E95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474B6890">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62D730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0D70DD7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15A137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42217A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64E7D1C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6770A28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076E3F3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696EA9C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006F507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348E15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391EAE8">
      <w:pPr>
        <w:pStyle w:val="76"/>
        <w:bidi w:val="0"/>
      </w:pPr>
    </w:p>
    <w:p w14:paraId="391DF144">
      <w:pPr>
        <w:pStyle w:val="76"/>
        <w:bidi w:val="0"/>
      </w:pPr>
    </w:p>
    <w:p w14:paraId="4E421771">
      <w:pPr>
        <w:pStyle w:val="76"/>
        <w:bidi w:val="0"/>
      </w:pPr>
    </w:p>
    <w:p w14:paraId="32C9A5BE">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4E91CA03">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商务条款偏离表</w:t>
      </w:r>
    </w:p>
    <w:p w14:paraId="38D36224">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商务条款偏离表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6A31E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AA7D60">
            <w:pPr>
              <w:jc w:val="center"/>
              <w:rPr>
                <w:rFonts w:hint="default" w:ascii="Times New Roman" w:hAnsi="Times New Roman" w:eastAsia="宋体" w:cs="Times New Roman"/>
                <w:b/>
                <w:szCs w:val="20"/>
                <w:lang w:val="en-US"/>
              </w:rPr>
            </w:pPr>
            <w:r>
              <w:rPr>
                <w:rFonts w:hint="eastAsia" w:ascii="宋体" w:hAnsi="宋体" w:cs="宋体"/>
                <w:b/>
                <w:bCs/>
                <w:i w:val="0"/>
                <w:iCs w:val="0"/>
                <w:sz w:val="24"/>
                <w:szCs w:val="24"/>
                <w:highlight w:val="none"/>
                <w:u w:val="none"/>
                <w:lang w:val="en-US" w:eastAsia="zh-CN"/>
              </w:rPr>
              <w:t>机械加工设备更新改造项目 子项3：中走丝线切割机床更新项目</w:t>
            </w:r>
          </w:p>
        </w:tc>
        <w:tc>
          <w:tcPr>
            <w:tcW w:w="2875" w:type="dxa"/>
            <w:tcBorders>
              <w:top w:val="single" w:color="auto" w:sz="4" w:space="0"/>
              <w:left w:val="single" w:color="auto" w:sz="4" w:space="0"/>
              <w:bottom w:val="single" w:color="auto" w:sz="4" w:space="0"/>
              <w:right w:val="single" w:color="auto" w:sz="4" w:space="0"/>
            </w:tcBorders>
            <w:vAlign w:val="center"/>
          </w:tcPr>
          <w:p w14:paraId="11CC715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8DE94">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EA137BC">
            <w:pPr>
              <w:jc w:val="center"/>
              <w:rPr>
                <w:rFonts w:ascii="Times New Roman" w:hAnsi="Times New Roman" w:eastAsia="宋体" w:cs="Times New Roman"/>
                <w:b/>
                <w:szCs w:val="20"/>
              </w:rPr>
            </w:pPr>
            <w:r>
              <w:rPr>
                <w:rFonts w:hint="eastAsia" w:ascii="宋体" w:hAnsi="宋体" w:eastAsia="宋体" w:cs="宋体"/>
                <w:b/>
                <w:szCs w:val="20"/>
              </w:rPr>
              <w:t>是否偏离</w:t>
            </w:r>
          </w:p>
          <w:p w14:paraId="695C9B64">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D3B8B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63008E0">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51AB607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479390B">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84F2FF5">
            <w:pPr>
              <w:jc w:val="center"/>
              <w:rPr>
                <w:rFonts w:ascii="Times New Roman" w:hAnsi="Times New Roman" w:eastAsia="宋体" w:cs="Times New Roman"/>
                <w:b/>
                <w:szCs w:val="20"/>
              </w:rPr>
            </w:pPr>
          </w:p>
        </w:tc>
      </w:tr>
      <w:tr w14:paraId="0E4AFE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873810">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6C8F3F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72EB4D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084D158">
            <w:pPr>
              <w:jc w:val="center"/>
              <w:rPr>
                <w:rFonts w:ascii="Times New Roman" w:hAnsi="Times New Roman" w:eastAsia="宋体" w:cs="Times New Roman"/>
                <w:b/>
                <w:szCs w:val="21"/>
              </w:rPr>
            </w:pPr>
          </w:p>
        </w:tc>
      </w:tr>
      <w:tr w14:paraId="5C0B8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D4069E">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4964D6D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CC919F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DA3E96">
            <w:pPr>
              <w:jc w:val="center"/>
              <w:rPr>
                <w:rFonts w:ascii="Times New Roman" w:hAnsi="Times New Roman" w:eastAsia="宋体" w:cs="Times New Roman"/>
                <w:b/>
                <w:szCs w:val="20"/>
              </w:rPr>
            </w:pPr>
          </w:p>
        </w:tc>
      </w:tr>
      <w:tr w14:paraId="2D16E8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D5B77B">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99352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FFCFD2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F93773C">
            <w:pPr>
              <w:jc w:val="center"/>
              <w:rPr>
                <w:rFonts w:ascii="Times New Roman" w:hAnsi="Times New Roman" w:eastAsia="宋体" w:cs="Times New Roman"/>
                <w:b/>
                <w:szCs w:val="21"/>
              </w:rPr>
            </w:pPr>
          </w:p>
          <w:p w14:paraId="2311C360">
            <w:pPr>
              <w:jc w:val="center"/>
              <w:rPr>
                <w:rFonts w:ascii="Times New Roman" w:hAnsi="Times New Roman" w:eastAsia="宋体" w:cs="Times New Roman"/>
                <w:b/>
                <w:szCs w:val="21"/>
              </w:rPr>
            </w:pPr>
          </w:p>
          <w:p w14:paraId="7FD0011A">
            <w:pPr>
              <w:jc w:val="center"/>
              <w:rPr>
                <w:rFonts w:ascii="Times New Roman" w:hAnsi="Times New Roman" w:eastAsia="宋体" w:cs="Times New Roman"/>
                <w:b/>
                <w:szCs w:val="21"/>
              </w:rPr>
            </w:pPr>
          </w:p>
          <w:p w14:paraId="7E133CE2">
            <w:pPr>
              <w:jc w:val="center"/>
              <w:rPr>
                <w:rFonts w:ascii="Times New Roman" w:hAnsi="Times New Roman" w:eastAsia="宋体" w:cs="Times New Roman"/>
                <w:b/>
                <w:szCs w:val="21"/>
              </w:rPr>
            </w:pPr>
          </w:p>
          <w:p w14:paraId="51AC5346">
            <w:pPr>
              <w:jc w:val="center"/>
              <w:rPr>
                <w:rFonts w:ascii="Times New Roman" w:hAnsi="Times New Roman" w:eastAsia="宋体" w:cs="Times New Roman"/>
                <w:b/>
                <w:szCs w:val="21"/>
              </w:rPr>
            </w:pPr>
          </w:p>
          <w:p w14:paraId="2BC45769">
            <w:pPr>
              <w:jc w:val="center"/>
              <w:rPr>
                <w:rFonts w:ascii="Times New Roman" w:hAnsi="Times New Roman" w:eastAsia="宋体" w:cs="Times New Roman"/>
                <w:b/>
                <w:szCs w:val="21"/>
              </w:rPr>
            </w:pPr>
          </w:p>
          <w:p w14:paraId="76CE503C">
            <w:pPr>
              <w:jc w:val="center"/>
              <w:rPr>
                <w:rFonts w:ascii="Times New Roman" w:hAnsi="Times New Roman" w:eastAsia="宋体" w:cs="Times New Roman"/>
                <w:b/>
                <w:szCs w:val="21"/>
              </w:rPr>
            </w:pPr>
          </w:p>
          <w:p w14:paraId="085D6DBC">
            <w:pPr>
              <w:jc w:val="center"/>
              <w:rPr>
                <w:rFonts w:ascii="Times New Roman" w:hAnsi="Times New Roman" w:eastAsia="宋体" w:cs="Times New Roman"/>
                <w:b/>
                <w:szCs w:val="21"/>
              </w:rPr>
            </w:pPr>
          </w:p>
          <w:p w14:paraId="1571192F">
            <w:pPr>
              <w:jc w:val="center"/>
              <w:rPr>
                <w:rFonts w:ascii="Times New Roman" w:hAnsi="Times New Roman" w:eastAsia="宋体" w:cs="Times New Roman"/>
                <w:b/>
                <w:szCs w:val="21"/>
              </w:rPr>
            </w:pPr>
          </w:p>
          <w:p w14:paraId="7D15E4F6">
            <w:pPr>
              <w:jc w:val="center"/>
              <w:rPr>
                <w:rFonts w:ascii="Times New Roman" w:hAnsi="Times New Roman" w:eastAsia="宋体" w:cs="Times New Roman"/>
                <w:b/>
                <w:szCs w:val="21"/>
              </w:rPr>
            </w:pPr>
          </w:p>
          <w:p w14:paraId="4542552C">
            <w:pPr>
              <w:jc w:val="center"/>
              <w:rPr>
                <w:rFonts w:ascii="Times New Roman" w:hAnsi="Times New Roman" w:eastAsia="宋体" w:cs="Times New Roman"/>
                <w:b/>
                <w:szCs w:val="21"/>
              </w:rPr>
            </w:pPr>
          </w:p>
          <w:p w14:paraId="53820639">
            <w:pPr>
              <w:jc w:val="center"/>
              <w:rPr>
                <w:rFonts w:ascii="Times New Roman" w:hAnsi="Times New Roman" w:eastAsia="宋体" w:cs="Times New Roman"/>
                <w:b/>
                <w:szCs w:val="21"/>
              </w:rPr>
            </w:pPr>
          </w:p>
          <w:p w14:paraId="58C55B20">
            <w:pPr>
              <w:jc w:val="center"/>
              <w:rPr>
                <w:rFonts w:ascii="Times New Roman" w:hAnsi="Times New Roman" w:eastAsia="宋体" w:cs="Times New Roman"/>
                <w:b/>
                <w:szCs w:val="21"/>
              </w:rPr>
            </w:pPr>
          </w:p>
          <w:p w14:paraId="0214A778">
            <w:pPr>
              <w:jc w:val="center"/>
              <w:rPr>
                <w:rFonts w:ascii="Times New Roman" w:hAnsi="Times New Roman" w:eastAsia="宋体" w:cs="Times New Roman"/>
                <w:b/>
                <w:szCs w:val="21"/>
              </w:rPr>
            </w:pPr>
          </w:p>
          <w:p w14:paraId="6EFAB8EF">
            <w:pPr>
              <w:jc w:val="center"/>
              <w:rPr>
                <w:rFonts w:ascii="Times New Roman" w:hAnsi="Times New Roman" w:eastAsia="宋体" w:cs="Times New Roman"/>
                <w:b/>
                <w:szCs w:val="21"/>
              </w:rPr>
            </w:pPr>
          </w:p>
          <w:p w14:paraId="576EE7F4">
            <w:pPr>
              <w:jc w:val="center"/>
              <w:rPr>
                <w:rFonts w:ascii="Times New Roman" w:hAnsi="Times New Roman" w:eastAsia="宋体" w:cs="Times New Roman"/>
                <w:b/>
                <w:szCs w:val="21"/>
              </w:rPr>
            </w:pPr>
          </w:p>
          <w:p w14:paraId="1C6A0C58">
            <w:pPr>
              <w:jc w:val="center"/>
              <w:rPr>
                <w:rFonts w:ascii="Times New Roman" w:hAnsi="Times New Roman" w:eastAsia="宋体" w:cs="Times New Roman"/>
                <w:b/>
                <w:szCs w:val="20"/>
              </w:rPr>
            </w:pPr>
          </w:p>
        </w:tc>
      </w:tr>
      <w:tr w14:paraId="026C47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568D7A9">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D9879D6">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9E4C958">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66DF1D53">
            <w:pPr>
              <w:jc w:val="center"/>
              <w:rPr>
                <w:rFonts w:ascii="Times New Roman" w:hAnsi="Times New Roman" w:eastAsia="宋体" w:cs="Times New Roman"/>
                <w:b/>
                <w:szCs w:val="20"/>
              </w:rPr>
            </w:pPr>
          </w:p>
        </w:tc>
      </w:tr>
    </w:tbl>
    <w:p w14:paraId="1D46FA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ACA508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4A64866">
      <w:pPr>
        <w:pStyle w:val="12"/>
        <w:rPr>
          <w:rFonts w:hint="default"/>
          <w:lang w:val="en-US" w:eastAsia="zh-CN"/>
        </w:rPr>
      </w:pPr>
    </w:p>
    <w:p w14:paraId="0D0184EF">
      <w:pPr>
        <w:pStyle w:val="76"/>
        <w:rPr>
          <w:rFonts w:hint="default" w:hAnsi="宋体"/>
          <w:sz w:val="24"/>
          <w:lang w:val="en-US"/>
        </w:rPr>
      </w:pPr>
    </w:p>
    <w:p w14:paraId="16DD544E">
      <w:pPr>
        <w:rPr>
          <w:rFonts w:hint="eastAsia" w:ascii="宋体" w:hAnsi="宋体" w:eastAsia="宋体" w:cs="宋体"/>
          <w:sz w:val="32"/>
          <w:szCs w:val="32"/>
          <w:highlight w:val="none"/>
          <w:lang w:val="en-US" w:eastAsia="zh-CN"/>
        </w:rPr>
      </w:pPr>
    </w:p>
    <w:p w14:paraId="71860C29">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分项报价表</w:t>
      </w:r>
    </w:p>
    <w:p w14:paraId="7E95F46C">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分项报价表</w:t>
      </w:r>
    </w:p>
    <w:p w14:paraId="690158EE">
      <w:pPr>
        <w:rPr>
          <w:rFonts w:hint="default" w:hAnsi="宋体"/>
          <w:sz w:val="24"/>
          <w:lang w:val="en-US"/>
        </w:rPr>
      </w:pPr>
      <w:r>
        <w:rPr>
          <w:rFonts w:hint="default" w:hAnsi="宋体"/>
          <w:sz w:val="24"/>
          <w:lang w:val="en-US"/>
        </w:rPr>
        <w:object>
          <v:shape id="_x0000_i1025" o:spt="75" type="#_x0000_t75" style="height:65.4pt;width:72.6pt;" o:ole="t" filled="f" o:preferrelative="t" stroked="f" coordsize="21600,21600">
            <v:path/>
            <v:fill on="f" focussize="0,0"/>
            <v:stroke on="f"/>
            <v:imagedata r:id="rId20" o:title=""/>
            <o:lock v:ext="edit" aspectratio="t"/>
            <w10:wrap type="none"/>
            <w10:anchorlock/>
          </v:shape>
          <o:OLEObject Type="Embed" ProgID="Excel.Sheet.12" ShapeID="_x0000_i1025" DrawAspect="Icon" ObjectID="_1468075725" r:id="rId19">
            <o:LockedField>false</o:LockedField>
          </o:OLEObject>
        </w:object>
      </w:r>
      <w:r>
        <w:rPr>
          <w:rFonts w:hint="default" w:hAnsi="宋体"/>
          <w:sz w:val="24"/>
          <w:lang w:val="en-US"/>
        </w:rPr>
        <w:br w:type="page"/>
      </w:r>
      <w:bookmarkStart w:id="27" w:name="_GoBack"/>
      <w:bookmarkEnd w:id="27"/>
    </w:p>
    <w:p w14:paraId="7F7233A4">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附件8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1"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2"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3"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4" cstate="print"/>
                    <a:srcRect/>
                    <a:stretch>
                      <a:fillRect/>
                    </a:stretch>
                  </pic:blipFill>
                  <pic:spPr>
                    <a:xfrm>
                      <a:off x="0" y="0"/>
                      <a:ext cx="5760085" cy="2853055"/>
                    </a:xfrm>
                    <a:prstGeom prst="rect">
                      <a:avLst/>
                    </a:prstGeom>
                  </pic:spPr>
                </pic:pic>
              </a:graphicData>
            </a:graphic>
          </wp:inline>
        </w:drawing>
      </w:r>
    </w:p>
    <w:p w14:paraId="17346439">
      <w:pPr>
        <w:numPr>
          <w:ilvl w:val="0"/>
          <w:numId w:val="29"/>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2"/>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5" cstate="print"/>
                    <a:srcRect/>
                    <a:stretch>
                      <a:fillRect/>
                    </a:stretch>
                  </pic:blipFill>
                  <pic:spPr>
                    <a:xfrm>
                      <a:off x="0" y="0"/>
                      <a:ext cx="5760085" cy="2809875"/>
                    </a:xfrm>
                    <a:prstGeom prst="rect">
                      <a:avLst/>
                    </a:prstGeom>
                  </pic:spPr>
                </pic:pic>
              </a:graphicData>
            </a:graphic>
          </wp:inline>
        </w:drawing>
      </w:r>
    </w:p>
    <w:p w14:paraId="5F803865">
      <w:pPr>
        <w:pStyle w:val="2"/>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6" cstate="print"/>
                    <a:srcRect/>
                    <a:stretch>
                      <a:fillRect/>
                    </a:stretch>
                  </pic:blipFill>
                  <pic:spPr>
                    <a:xfrm>
                      <a:off x="0" y="0"/>
                      <a:ext cx="5760085" cy="2820035"/>
                    </a:xfrm>
                    <a:prstGeom prst="rect">
                      <a:avLst/>
                    </a:prstGeom>
                  </pic:spPr>
                </pic:pic>
              </a:graphicData>
            </a:graphic>
          </wp:inline>
        </w:drawing>
      </w:r>
    </w:p>
    <w:p w14:paraId="1B088E0A">
      <w:pPr>
        <w:pStyle w:val="2"/>
      </w:pPr>
    </w:p>
    <w:p w14:paraId="7AAAB53F">
      <w:pPr>
        <w:pStyle w:val="2"/>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w:t>
      </w:r>
      <w:r>
        <w:rPr>
          <w:rFonts w:hint="eastAsia" w:ascii="宋体" w:hAnsi="Courier New" w:eastAsia="宋体" w:cs="Times New Roman"/>
          <w:b/>
          <w:bCs/>
          <w:kern w:val="2"/>
          <w:sz w:val="21"/>
          <w:lang w:val="en-US" w:eastAsia="zh-CN" w:bidi="ar-SA"/>
        </w:rPr>
        <w:t>“项目名称”和“采购形式编号”见第一部分的“项目介绍”；</w:t>
      </w:r>
    </w:p>
    <w:p w14:paraId="1FD15F04">
      <w:pPr>
        <w:pStyle w:val="2"/>
        <w:bidi w:val="0"/>
        <w:rPr>
          <w:rFonts w:hint="eastAsia" w:eastAsia="宋体"/>
          <w:b/>
          <w:bCs/>
          <w:lang w:val="en-US" w:eastAsia="zh-CN"/>
        </w:rPr>
      </w:pPr>
      <w:r>
        <w:rPr>
          <w:rFonts w:hint="eastAsia"/>
          <w:b/>
          <w:bCs/>
        </w:rPr>
        <w:t>2.配套能力“</w:t>
      </w:r>
      <w:r>
        <w:rPr>
          <w:rFonts w:hint="eastAsia"/>
          <w:b/>
          <w:bCs/>
          <w:lang w:val="en-US" w:eastAsia="zh-CN"/>
        </w:rPr>
        <w:t>意向合作单位</w:t>
      </w:r>
      <w:r>
        <w:rPr>
          <w:rFonts w:hint="eastAsia"/>
          <w:b/>
          <w:bCs/>
        </w:rPr>
        <w:t>”填“直管单位</w:t>
      </w:r>
      <w:r>
        <w:rPr>
          <w:rFonts w:hint="eastAsia"/>
          <w:b/>
          <w:bCs/>
          <w:lang w:eastAsia="zh-CN"/>
        </w:rPr>
        <w:t>”；</w:t>
      </w:r>
      <w:r>
        <w:rPr>
          <w:rFonts w:hint="eastAsia"/>
          <w:b/>
          <w:bCs/>
        </w:rPr>
        <w:t>“供货类别”</w:t>
      </w:r>
      <w:r>
        <w:rPr>
          <w:rFonts w:hint="eastAsia"/>
          <w:b/>
          <w:bCs/>
          <w:lang w:val="en-US" w:eastAsia="zh-CN"/>
        </w:rPr>
        <w:t>填“</w:t>
      </w:r>
      <w:r>
        <w:rPr>
          <w:rFonts w:hint="eastAsia"/>
          <w:b/>
          <w:bCs/>
        </w:rPr>
        <w:t>非生产招标</w:t>
      </w:r>
      <w:r>
        <w:rPr>
          <w:rFonts w:hint="eastAsia"/>
          <w:b/>
          <w:bCs/>
          <w:lang w:val="en-US" w:eastAsia="zh-CN"/>
        </w:rPr>
        <w:t>/</w:t>
      </w:r>
      <w:r>
        <w:rPr>
          <w:rFonts w:hint="eastAsia"/>
          <w:b/>
          <w:bCs/>
        </w:rPr>
        <w:t>工艺设备 / 工艺设备”</w:t>
      </w:r>
      <w:r>
        <w:rPr>
          <w:rFonts w:hint="eastAsia"/>
          <w:b/>
          <w:bCs/>
          <w:lang w:eastAsia="zh-CN"/>
        </w:rPr>
        <w:t>。</w:t>
      </w:r>
    </w:p>
    <w:p w14:paraId="454958B0">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14:paraId="6FEFF112">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附件9 SRM系统供应商用户手册</w:t>
      </w:r>
    </w:p>
    <w:p w14:paraId="4F79C23C">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7"/>
          <w:rFonts w:hint="eastAsia" w:ascii="宋体" w:hAnsi="宋体" w:eastAsia="宋体" w:cs="宋体"/>
          <w:sz w:val="24"/>
          <w:szCs w:val="24"/>
        </w:rPr>
        <w:fldChar w:fldCharType="begin"/>
      </w:r>
      <w:r>
        <w:rPr>
          <w:rStyle w:val="3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7"/>
          <w:rFonts w:hint="eastAsia" w:ascii="宋体" w:hAnsi="宋体" w:eastAsia="宋体" w:cs="宋体"/>
          <w:sz w:val="24"/>
          <w:szCs w:val="24"/>
        </w:rP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6870C91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6B38AD3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9129DA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9700869">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7"/>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pPr>
    </w:p>
    <w:p w14:paraId="12566FF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B08C7A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5452BC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8"/>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767038DF">
      <w:pPr>
        <w:pStyle w:val="2"/>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14:paraId="2C1CB367">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9"/>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3A7F0B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7DFB480E">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0"/>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351E23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3B414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B7C77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D12A28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1"/>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43DC18C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2"/>
                    <a:stretch>
                      <a:fillRect/>
                    </a:stretch>
                  </pic:blipFill>
                  <pic:spPr>
                    <a:xfrm>
                      <a:off x="0" y="0"/>
                      <a:ext cx="5760085" cy="1956600"/>
                    </a:xfrm>
                    <a:prstGeom prst="rect">
                      <a:avLst/>
                    </a:prstGeom>
                  </pic:spPr>
                </pic:pic>
              </a:graphicData>
            </a:graphic>
          </wp:inline>
        </w:drawing>
      </w:r>
    </w:p>
    <w:p w14:paraId="6D948036">
      <w:pPr>
        <w:pStyle w:val="76"/>
        <w:rPr>
          <w:rFonts w:hint="default" w:hAnsi="宋体"/>
          <w:sz w:val="24"/>
          <w:lang w:val="en-US"/>
        </w:rPr>
      </w:pPr>
    </w:p>
    <w:sectPr>
      <w:headerReference r:id="rId14" w:type="first"/>
      <w:footerReference r:id="rId16" w:type="first"/>
      <w:footerReference r:id="rId15"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KSOF0B79BE30">
    <w:panose1 w:val="02010600040101010101"/>
    <w:charset w:val="86"/>
    <w:family w:val="auto"/>
    <w:pitch w:val="default"/>
    <w:sig w:usb0="00000001" w:usb1="00000000" w:usb2="00000000" w:usb3="00000000" w:csb0="00040001"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F9AEEA">
    <w:pPr>
      <w:pStyle w:val="18"/>
      <w:jc w:val="center"/>
    </w:pPr>
    <w:r>
      <mc:AlternateContent>
        <mc:Choice Requires="wps">
          <w:drawing>
            <wp:anchor distT="0" distB="0" distL="0" distR="0" simplePos="0" relativeHeight="251661312" behindDoc="0" locked="0" layoutInCell="0" allowOverlap="1">
              <wp:simplePos x="0" y="0"/>
              <wp:positionH relativeFrom="margin">
                <wp:align>center</wp:align>
              </wp:positionH>
              <wp:positionV relativeFrom="paragraph">
                <wp:posOffset>635</wp:posOffset>
              </wp:positionV>
              <wp:extent cx="1829435" cy="165100"/>
              <wp:effectExtent l="0" t="0" r="0" b="0"/>
              <wp:wrapNone/>
              <wp:docPr id="2" name="文本框 2_0"/>
              <wp:cNvGraphicFramePr/>
              <a:graphic xmlns:a="http://schemas.openxmlformats.org/drawingml/2006/main">
                <a:graphicData uri="http://schemas.microsoft.com/office/word/2010/wordprocessingShape">
                  <wps:wsp>
                    <wps:cNvSpPr/>
                    <wps:spPr>
                      <a:xfrm>
                        <a:off x="0" y="0"/>
                        <a:ext cx="1828800" cy="16452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61E3A08E">
                          <w:pPr>
                            <w:pStyle w:val="114"/>
                            <w:snapToGrid w:val="0"/>
                            <w:jc w:val="center"/>
                            <w:rPr>
                              <w:sz w:val="18"/>
                            </w:rPr>
                          </w:pPr>
                          <w:r>
                            <w:rPr>
                              <w:color w:val="000000"/>
                              <w:szCs w:val="28"/>
                            </w:rPr>
                            <w:fldChar w:fldCharType="begin"/>
                          </w:r>
                          <w:r>
                            <w:rPr>
                              <w:color w:val="000000"/>
                              <w:szCs w:val="28"/>
                            </w:rPr>
                            <w:instrText xml:space="preserve">PAGE</w:instrText>
                          </w:r>
                          <w:r>
                            <w:rPr>
                              <w:color w:val="000000"/>
                              <w:szCs w:val="28"/>
                            </w:rPr>
                            <w:fldChar w:fldCharType="separate"/>
                          </w:r>
                          <w:r>
                            <w:rPr>
                              <w:color w:val="000000"/>
                              <w:szCs w:val="28"/>
                            </w:rPr>
                            <w:t>- 1 -</w:t>
                          </w:r>
                          <w:r>
                            <w:rPr>
                              <w:color w:val="000000"/>
                              <w:szCs w:val="28"/>
                            </w:rPr>
                            <w:fldChar w:fldCharType="end"/>
                          </w:r>
                        </w:p>
                      </w:txbxContent>
                    </wps:txbx>
                    <wps:bodyPr lIns="0" tIns="0" rIns="0" bIns="0">
                      <a:spAutoFit/>
                    </wps:bodyPr>
                  </wps:wsp>
                </a:graphicData>
              </a:graphic>
            </wp:anchor>
          </w:drawing>
        </mc:Choice>
        <mc:Fallback>
          <w:pict>
            <v:rect id="文本框 2_0" o:spid="_x0000_s1026" o:spt="1" style="position:absolute;left:0pt;margin-top:0.05pt;height:13pt;width:144.05pt;mso-position-horizontal:center;mso-position-horizontal-relative:margin;z-index:251661312;mso-width-relative:page;mso-height-relative:page;" filled="f" stroked="f" coordsize="21600,21600" o:allowincell="f" o:gfxdata="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PZgjr7TAAAABAEAAA8AAAAAAAAAAQAgAAAAIgAAAGRycy9kb3ducmV2LnhtbFBL&#10;AQIUABQAAAAIAIdO4kBvo4/QwgEAAIEDAAAOAAAAAAAAAAEAIAAAACIBAABkcnMvZTJvRG9jLnht&#10;bFBLBQYAAAAABgAGAFkBAABWBQAAAAA=&#10;">
              <v:fill on="f" focussize="0,0"/>
              <v:stroke on="f" weight="0.5pt"/>
              <v:imagedata o:title=""/>
              <o:lock v:ext="edit" aspectratio="f"/>
              <v:textbox inset="0mm,0mm,0mm,0mm" style="mso-fit-shape-to-text:t;">
                <w:txbxContent>
                  <w:p w14:paraId="61E3A08E">
                    <w:pPr>
                      <w:pStyle w:val="114"/>
                      <w:snapToGrid w:val="0"/>
                      <w:jc w:val="center"/>
                      <w:rPr>
                        <w:sz w:val="18"/>
                      </w:rPr>
                    </w:pPr>
                    <w:r>
                      <w:rPr>
                        <w:color w:val="000000"/>
                        <w:szCs w:val="28"/>
                      </w:rPr>
                      <w:fldChar w:fldCharType="begin"/>
                    </w:r>
                    <w:r>
                      <w:rPr>
                        <w:color w:val="000000"/>
                        <w:szCs w:val="28"/>
                      </w:rPr>
                      <w:instrText xml:space="preserve">PAGE</w:instrText>
                    </w:r>
                    <w:r>
                      <w:rPr>
                        <w:color w:val="000000"/>
                        <w:szCs w:val="28"/>
                      </w:rPr>
                      <w:fldChar w:fldCharType="separate"/>
                    </w:r>
                    <w:r>
                      <w:rPr>
                        <w:color w:val="000000"/>
                        <w:szCs w:val="28"/>
                      </w:rPr>
                      <w:t>- 1 -</w:t>
                    </w:r>
                    <w:r>
                      <w:rPr>
                        <w:color w:val="000000"/>
                        <w:szCs w:val="28"/>
                      </w:rP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F351B">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40DB97">
                          <w:pPr>
                            <w:pStyle w:val="18"/>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2640DB97">
                    <w:pPr>
                      <w:pStyle w:val="18"/>
                    </w:pPr>
                    <w:r>
                      <w:fldChar w:fldCharType="begin"/>
                    </w:r>
                    <w:r>
                      <w:instrText xml:space="preserve"> PAGE  \* MERGEFORMAT </w:instrText>
                    </w:r>
                    <w:r>
                      <w:fldChar w:fldCharType="separate"/>
                    </w:r>
                    <w:r>
                      <w:t>71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F79427">
    <w:pPr>
      <w:pStyle w:val="19"/>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20830A4"/>
    <w:multiLevelType w:val="multilevel"/>
    <w:tmpl w:val="B20830A4"/>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BD4C6742"/>
    <w:multiLevelType w:val="singleLevel"/>
    <w:tmpl w:val="BD4C6742"/>
    <w:lvl w:ilvl="0" w:tentative="0">
      <w:start w:val="1"/>
      <w:numFmt w:val="decimal"/>
      <w:lvlText w:val="%1."/>
      <w:lvlJc w:val="left"/>
      <w:pPr>
        <w:ind w:left="425" w:hanging="425"/>
      </w:pPr>
      <w:rPr>
        <w:rFonts w:hint="default"/>
      </w:rPr>
    </w:lvl>
  </w:abstractNum>
  <w:abstractNum w:abstractNumId="5">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6">
    <w:nsid w:val="D05F1A21"/>
    <w:multiLevelType w:val="multilevel"/>
    <w:tmpl w:val="D05F1A21"/>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7">
    <w:nsid w:val="D87ECBDD"/>
    <w:multiLevelType w:val="multilevel"/>
    <w:tmpl w:val="D87ECBDD"/>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8">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9">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0">
    <w:nsid w:val="00000003"/>
    <w:multiLevelType w:val="singleLevel"/>
    <w:tmpl w:val="00000003"/>
    <w:lvl w:ilvl="0" w:tentative="0">
      <w:start w:val="5"/>
      <w:numFmt w:val="decimal"/>
      <w:lvlText w:val="%1."/>
      <w:lvlJc w:val="left"/>
      <w:pPr>
        <w:tabs>
          <w:tab w:val="left" w:pos="312"/>
        </w:tabs>
      </w:p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3">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99F58C0"/>
    <w:multiLevelType w:val="multilevel"/>
    <w:tmpl w:val="199F58C0"/>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2B8672BE"/>
    <w:multiLevelType w:val="singleLevel"/>
    <w:tmpl w:val="2B8672BE"/>
    <w:lvl w:ilvl="0" w:tentative="0">
      <w:start w:val="1"/>
      <w:numFmt w:val="decimal"/>
      <w:lvlText w:val="%1."/>
      <w:lvlJc w:val="left"/>
      <w:pPr>
        <w:ind w:left="425" w:hanging="425"/>
      </w:pPr>
      <w:rPr>
        <w:rFonts w:hint="default"/>
      </w:rPr>
    </w:lvl>
  </w:abstractNum>
  <w:abstractNum w:abstractNumId="18">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9">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A6836EF"/>
    <w:multiLevelType w:val="singleLevel"/>
    <w:tmpl w:val="5A6836EF"/>
    <w:lvl w:ilvl="0" w:tentative="0">
      <w:start w:val="1"/>
      <w:numFmt w:val="decimal"/>
      <w:suff w:val="nothing"/>
      <w:lvlText w:val="%1."/>
      <w:lvlJc w:val="left"/>
      <w:pPr>
        <w:ind w:left="0" w:firstLine="0"/>
      </w:pPr>
    </w:lvl>
  </w:abstractNum>
  <w:abstractNum w:abstractNumId="24">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5">
    <w:nsid w:val="5EEE3A7E"/>
    <w:multiLevelType w:val="multilevel"/>
    <w:tmpl w:val="5EEE3A7E"/>
    <w:lvl w:ilvl="0" w:tentative="0">
      <w:start w:val="1"/>
      <w:numFmt w:val="bullet"/>
      <w:suff w:val="nothing"/>
      <w:lvlText w:val=""/>
      <w:lvlJc w:val="left"/>
      <w:pPr>
        <w:ind w:left="0" w:leftChars="0" w:firstLine="0" w:firstLineChars="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8">
    <w:nsid w:val="6EC2D667"/>
    <w:multiLevelType w:val="singleLevel"/>
    <w:tmpl w:val="6EC2D667"/>
    <w:lvl w:ilvl="0" w:tentative="0">
      <w:start w:val="1"/>
      <w:numFmt w:val="bullet"/>
      <w:lvlText w:val=""/>
      <w:lvlJc w:val="left"/>
      <w:pPr>
        <w:ind w:left="420" w:hanging="420"/>
      </w:pPr>
      <w:rPr>
        <w:rFonts w:hint="default" w:ascii="Wingdings" w:hAnsi="Wingdings"/>
        <w:color w:val="FF0000"/>
      </w:rPr>
    </w:lvl>
  </w:abstractNum>
  <w:num w:numId="1">
    <w:abstractNumId w:val="19"/>
  </w:num>
  <w:num w:numId="2">
    <w:abstractNumId w:val="26"/>
  </w:num>
  <w:num w:numId="3">
    <w:abstractNumId w:val="22"/>
  </w:num>
  <w:num w:numId="4">
    <w:abstractNumId w:val="20"/>
  </w:num>
  <w:num w:numId="5">
    <w:abstractNumId w:val="11"/>
  </w:num>
  <w:num w:numId="6">
    <w:abstractNumId w:val="14"/>
  </w:num>
  <w:num w:numId="7">
    <w:abstractNumId w:val="16"/>
  </w:num>
  <w:num w:numId="8">
    <w:abstractNumId w:val="21"/>
  </w:num>
  <w:num w:numId="9">
    <w:abstractNumId w:val="4"/>
  </w:num>
  <w:num w:numId="10">
    <w:abstractNumId w:val="13"/>
  </w:num>
  <w:num w:numId="11">
    <w:abstractNumId w:val="8"/>
  </w:num>
  <w:num w:numId="12">
    <w:abstractNumId w:val="27"/>
  </w:num>
  <w:num w:numId="13">
    <w:abstractNumId w:val="0"/>
  </w:num>
  <w:num w:numId="14">
    <w:abstractNumId w:val="5"/>
  </w:num>
  <w:num w:numId="15">
    <w:abstractNumId w:val="6"/>
  </w:num>
  <w:num w:numId="16">
    <w:abstractNumId w:val="3"/>
  </w:num>
  <w:num w:numId="17">
    <w:abstractNumId w:val="12"/>
  </w:num>
  <w:num w:numId="18">
    <w:abstractNumId w:val="15"/>
  </w:num>
  <w:num w:numId="19">
    <w:abstractNumId w:val="2"/>
  </w:num>
  <w:num w:numId="20">
    <w:abstractNumId w:val="25"/>
  </w:num>
  <w:num w:numId="21">
    <w:abstractNumId w:val="7"/>
  </w:num>
  <w:num w:numId="22">
    <w:abstractNumId w:val="24"/>
  </w:num>
  <w:num w:numId="23">
    <w:abstractNumId w:val="28"/>
  </w:num>
  <w:num w:numId="24">
    <w:abstractNumId w:val="9"/>
  </w:num>
  <w:num w:numId="25">
    <w:abstractNumId w:val="1"/>
  </w:num>
  <w:num w:numId="26">
    <w:abstractNumId w:val="18"/>
  </w:num>
  <w:num w:numId="27">
    <w:abstractNumId w:val="23"/>
  </w:num>
  <w:num w:numId="28">
    <w:abstractNumId w:val="17"/>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CC3DCA"/>
    <w:rsid w:val="02FE76EF"/>
    <w:rsid w:val="03F033B0"/>
    <w:rsid w:val="057C1D39"/>
    <w:rsid w:val="05891259"/>
    <w:rsid w:val="0654565B"/>
    <w:rsid w:val="08633479"/>
    <w:rsid w:val="0A486315"/>
    <w:rsid w:val="0A63147A"/>
    <w:rsid w:val="0A702930"/>
    <w:rsid w:val="0ADB2EF0"/>
    <w:rsid w:val="0ADD4CBE"/>
    <w:rsid w:val="0C83309C"/>
    <w:rsid w:val="0CB51572"/>
    <w:rsid w:val="0DE73E36"/>
    <w:rsid w:val="0E4D31E3"/>
    <w:rsid w:val="0E530E38"/>
    <w:rsid w:val="10DC2AA3"/>
    <w:rsid w:val="10FA7C8C"/>
    <w:rsid w:val="12F64B6E"/>
    <w:rsid w:val="130B198F"/>
    <w:rsid w:val="13B54178"/>
    <w:rsid w:val="13FA68E0"/>
    <w:rsid w:val="14FA3491"/>
    <w:rsid w:val="15BB1367"/>
    <w:rsid w:val="15D2452A"/>
    <w:rsid w:val="16383321"/>
    <w:rsid w:val="16A918E4"/>
    <w:rsid w:val="17D966D6"/>
    <w:rsid w:val="19517BDA"/>
    <w:rsid w:val="19E33213"/>
    <w:rsid w:val="1A463A67"/>
    <w:rsid w:val="1B481CDF"/>
    <w:rsid w:val="1BA3160C"/>
    <w:rsid w:val="1BBB4BA7"/>
    <w:rsid w:val="1BC71D3B"/>
    <w:rsid w:val="1C59115B"/>
    <w:rsid w:val="1C9962F4"/>
    <w:rsid w:val="1D596BD7"/>
    <w:rsid w:val="1E296445"/>
    <w:rsid w:val="1EFD1680"/>
    <w:rsid w:val="1FB23E60"/>
    <w:rsid w:val="1FBA79B4"/>
    <w:rsid w:val="203E1903"/>
    <w:rsid w:val="212F23EA"/>
    <w:rsid w:val="21F50ADF"/>
    <w:rsid w:val="226A2E83"/>
    <w:rsid w:val="227640E7"/>
    <w:rsid w:val="227F2CA6"/>
    <w:rsid w:val="22C5630B"/>
    <w:rsid w:val="23567554"/>
    <w:rsid w:val="23EC0BA6"/>
    <w:rsid w:val="24701A48"/>
    <w:rsid w:val="25EC6AF8"/>
    <w:rsid w:val="268B0052"/>
    <w:rsid w:val="26CF6817"/>
    <w:rsid w:val="27743C90"/>
    <w:rsid w:val="27B358EA"/>
    <w:rsid w:val="28B55739"/>
    <w:rsid w:val="29CA2459"/>
    <w:rsid w:val="2B271A58"/>
    <w:rsid w:val="2B6304A7"/>
    <w:rsid w:val="2BAC194A"/>
    <w:rsid w:val="2BCB24AC"/>
    <w:rsid w:val="2C642D3E"/>
    <w:rsid w:val="2CEA145B"/>
    <w:rsid w:val="2CF6734C"/>
    <w:rsid w:val="2D4D284A"/>
    <w:rsid w:val="2D663463"/>
    <w:rsid w:val="2E112A52"/>
    <w:rsid w:val="2EDF6121"/>
    <w:rsid w:val="2EF96EE4"/>
    <w:rsid w:val="31E37A09"/>
    <w:rsid w:val="32C207BF"/>
    <w:rsid w:val="3380787D"/>
    <w:rsid w:val="33822A0F"/>
    <w:rsid w:val="34F565DC"/>
    <w:rsid w:val="35D271A0"/>
    <w:rsid w:val="36254FE4"/>
    <w:rsid w:val="36AA39B8"/>
    <w:rsid w:val="372F61E0"/>
    <w:rsid w:val="39322FCA"/>
    <w:rsid w:val="395C1BFB"/>
    <w:rsid w:val="39DC1028"/>
    <w:rsid w:val="3A503E1E"/>
    <w:rsid w:val="3AB90991"/>
    <w:rsid w:val="3B706131"/>
    <w:rsid w:val="3BF833EC"/>
    <w:rsid w:val="3C8E02FC"/>
    <w:rsid w:val="3E6F041E"/>
    <w:rsid w:val="3E846635"/>
    <w:rsid w:val="3F9D2397"/>
    <w:rsid w:val="418D0CE6"/>
    <w:rsid w:val="41A5482C"/>
    <w:rsid w:val="4275481E"/>
    <w:rsid w:val="428B617A"/>
    <w:rsid w:val="42CE288A"/>
    <w:rsid w:val="433D7BDC"/>
    <w:rsid w:val="437E1813"/>
    <w:rsid w:val="43A427AA"/>
    <w:rsid w:val="444E2202"/>
    <w:rsid w:val="45354CBC"/>
    <w:rsid w:val="45BD47FC"/>
    <w:rsid w:val="45CC5FB2"/>
    <w:rsid w:val="46B75BA8"/>
    <w:rsid w:val="46E91D19"/>
    <w:rsid w:val="48C97955"/>
    <w:rsid w:val="49880C8F"/>
    <w:rsid w:val="4A8835F7"/>
    <w:rsid w:val="4B2C1164"/>
    <w:rsid w:val="4B592E71"/>
    <w:rsid w:val="4DF75369"/>
    <w:rsid w:val="4EA23B01"/>
    <w:rsid w:val="4EB0217D"/>
    <w:rsid w:val="4F482E54"/>
    <w:rsid w:val="4F8B220C"/>
    <w:rsid w:val="4FC961E8"/>
    <w:rsid w:val="504F4EAF"/>
    <w:rsid w:val="516C4BAA"/>
    <w:rsid w:val="51D51447"/>
    <w:rsid w:val="52B9239A"/>
    <w:rsid w:val="52D52A7F"/>
    <w:rsid w:val="54BD78FD"/>
    <w:rsid w:val="552A3C28"/>
    <w:rsid w:val="555A2DA3"/>
    <w:rsid w:val="555D7843"/>
    <w:rsid w:val="56901A99"/>
    <w:rsid w:val="58A86DDE"/>
    <w:rsid w:val="58EA204C"/>
    <w:rsid w:val="59154AD7"/>
    <w:rsid w:val="5A542AB4"/>
    <w:rsid w:val="5ADF548D"/>
    <w:rsid w:val="5BF95104"/>
    <w:rsid w:val="5C4627AE"/>
    <w:rsid w:val="5C9249CA"/>
    <w:rsid w:val="5D5C60B4"/>
    <w:rsid w:val="5D8073BF"/>
    <w:rsid w:val="60651FB9"/>
    <w:rsid w:val="614E12EC"/>
    <w:rsid w:val="616D6769"/>
    <w:rsid w:val="63F04A69"/>
    <w:rsid w:val="646A3D0C"/>
    <w:rsid w:val="64A82747"/>
    <w:rsid w:val="65336B29"/>
    <w:rsid w:val="65AA5B01"/>
    <w:rsid w:val="66A50B1E"/>
    <w:rsid w:val="67095CF1"/>
    <w:rsid w:val="674E3DF4"/>
    <w:rsid w:val="67B2063C"/>
    <w:rsid w:val="67C97AC3"/>
    <w:rsid w:val="67E30EC1"/>
    <w:rsid w:val="6A4E3B2B"/>
    <w:rsid w:val="6AC838A9"/>
    <w:rsid w:val="6B481C3B"/>
    <w:rsid w:val="6B875383"/>
    <w:rsid w:val="6B914DF2"/>
    <w:rsid w:val="6BBD7F47"/>
    <w:rsid w:val="6C1331A3"/>
    <w:rsid w:val="6C765676"/>
    <w:rsid w:val="6CA84BC1"/>
    <w:rsid w:val="6D170ADE"/>
    <w:rsid w:val="6D3E4756"/>
    <w:rsid w:val="6DA204A6"/>
    <w:rsid w:val="6FC523EB"/>
    <w:rsid w:val="6FE22646"/>
    <w:rsid w:val="6FE40756"/>
    <w:rsid w:val="70825D63"/>
    <w:rsid w:val="71F00129"/>
    <w:rsid w:val="71FE41EB"/>
    <w:rsid w:val="72895F2E"/>
    <w:rsid w:val="72C02EBE"/>
    <w:rsid w:val="72C507AD"/>
    <w:rsid w:val="72D028D8"/>
    <w:rsid w:val="745D47C3"/>
    <w:rsid w:val="751B1584"/>
    <w:rsid w:val="75341FA7"/>
    <w:rsid w:val="764F7753"/>
    <w:rsid w:val="76AC3757"/>
    <w:rsid w:val="77D4005C"/>
    <w:rsid w:val="78292927"/>
    <w:rsid w:val="7B9854E0"/>
    <w:rsid w:val="7C6021A7"/>
    <w:rsid w:val="7CAB4D9F"/>
    <w:rsid w:val="7CB93F8E"/>
    <w:rsid w:val="7CF66B46"/>
    <w:rsid w:val="7D4A0A5C"/>
    <w:rsid w:val="7D97125D"/>
    <w:rsid w:val="7DB618B0"/>
    <w:rsid w:val="7DBD28BA"/>
    <w:rsid w:val="7E736B66"/>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111"/>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0"/>
    <w:qFormat/>
    <w:uiPriority w:val="0"/>
    <w:rPr>
      <w:rFonts w:ascii="宋体" w:hAnsi="Courier New"/>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semiHidden/>
    <w:qFormat/>
    <w:uiPriority w:val="98"/>
    <w:rPr>
      <w:rFonts w:ascii="仿宋_GB2312" w:eastAsia="仿宋_GB2312"/>
      <w:sz w:val="32"/>
    </w:rPr>
  </w:style>
  <w:style w:type="paragraph" w:styleId="13">
    <w:name w:val="Body Text Indent"/>
    <w:basedOn w:val="1"/>
    <w:next w:val="1"/>
    <w:link w:val="48"/>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2"/>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2"/>
    <w:qFormat/>
    <w:uiPriority w:val="0"/>
    <w:pPr>
      <w:spacing w:line="360" w:lineRule="auto"/>
      <w:jc w:val="center"/>
      <w:outlineLvl w:val="0"/>
    </w:pPr>
    <w:rPr>
      <w:rFonts w:ascii="黑体" w:eastAsia="黑体"/>
      <w:b/>
      <w:bCs/>
      <w:sz w:val="36"/>
      <w:szCs w:val="36"/>
    </w:rPr>
  </w:style>
  <w:style w:type="paragraph" w:customStyle="1" w:styleId="72">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2"/>
    <w:qFormat/>
    <w:uiPriority w:val="2"/>
    <w:pPr>
      <w:numPr>
        <w:ilvl w:val="0"/>
        <w:numId w:val="3"/>
      </w:numPr>
      <w:spacing w:line="360" w:lineRule="auto"/>
      <w:outlineLvl w:val="2"/>
    </w:pPr>
    <w:rPr>
      <w:b/>
    </w:rPr>
  </w:style>
  <w:style w:type="paragraph" w:customStyle="1" w:styleId="74">
    <w:name w:val="3级标题"/>
    <w:basedOn w:val="2"/>
    <w:link w:val="102"/>
    <w:qFormat/>
    <w:uiPriority w:val="3"/>
    <w:pPr>
      <w:numPr>
        <w:ilvl w:val="0"/>
        <w:numId w:val="4"/>
      </w:numPr>
      <w:spacing w:line="360" w:lineRule="auto"/>
      <w:outlineLvl w:val="3"/>
    </w:pPr>
    <w:rPr>
      <w:b/>
    </w:rPr>
  </w:style>
  <w:style w:type="paragraph" w:customStyle="1" w:styleId="75">
    <w:name w:val="（4）级标题"/>
    <w:basedOn w:val="2"/>
    <w:qFormat/>
    <w:uiPriority w:val="8"/>
    <w:pPr>
      <w:numPr>
        <w:ilvl w:val="0"/>
        <w:numId w:val="5"/>
      </w:numPr>
      <w:spacing w:line="360" w:lineRule="auto"/>
      <w:outlineLvl w:val="4"/>
    </w:pPr>
  </w:style>
  <w:style w:type="paragraph" w:customStyle="1" w:styleId="76">
    <w:name w:val="标书正文"/>
    <w:basedOn w:val="2"/>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4"/>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标题 3 Char"/>
    <w:link w:val="5"/>
    <w:qFormat/>
    <w:uiPriority w:val="0"/>
    <w:rPr>
      <w:b/>
      <w:sz w:val="32"/>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 w:type="paragraph" w:customStyle="1" w:styleId="114">
    <w:name w:val="框架内容"/>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5" Type="http://schemas.openxmlformats.org/officeDocument/2006/relationships/fontTable" Target="fontTable.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image" Target="media/image14.png"/><Relationship Id="rId31" Type="http://schemas.openxmlformats.org/officeDocument/2006/relationships/image" Target="media/image13.png"/><Relationship Id="rId30" Type="http://schemas.openxmlformats.org/officeDocument/2006/relationships/image" Target="media/image12.png"/><Relationship Id="rId3" Type="http://schemas.openxmlformats.org/officeDocument/2006/relationships/header" Target="header1.xml"/><Relationship Id="rId29" Type="http://schemas.openxmlformats.org/officeDocument/2006/relationships/image" Target="media/image11.png"/><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emf"/><Relationship Id="rId2" Type="http://schemas.openxmlformats.org/officeDocument/2006/relationships/settings" Target="settings.xml"/><Relationship Id="rId19" Type="http://schemas.openxmlformats.org/officeDocument/2006/relationships/oleObject" Target="embeddings/oleObject1.bin"/><Relationship Id="rId18" Type="http://schemas.openxmlformats.org/officeDocument/2006/relationships/image" Target="media/image1.jpeg"/><Relationship Id="rId17" Type="http://schemas.openxmlformats.org/officeDocument/2006/relationships/theme" Target="theme/theme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38</Pages>
  <Words>16529</Words>
  <Characters>17076</Characters>
  <Lines>127</Lines>
  <Paragraphs>35</Paragraphs>
  <TotalTime>154</TotalTime>
  <ScaleCrop>false</ScaleCrop>
  <LinksUpToDate>false</LinksUpToDate>
  <CharactersWithSpaces>18751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cp:lastModifiedBy>
  <cp:lastPrinted>2020-06-28T02:28:00Z</cp:lastPrinted>
  <dcterms:modified xsi:type="dcterms:W3CDTF">2025-12-19T06:05:28Z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C0E52DBF9FCB4F07BC67952552803439_13</vt:lpwstr>
  </property>
  <property fmtid="{D5CDD505-2E9C-101B-9397-08002B2CF9AE}" pid="4" name="KSOTemplateDocerSaveRecord">
    <vt:lpwstr>eyJoZGlkIjoiZWQxZjNmOWI4MjYxMjE3YWYxMWY4NzIzOWZkNTY1ZGEiLCJ1c2VySWQiOiI4MjkwNzMwMzkifQ==</vt:lpwstr>
  </property>
</Properties>
</file>