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2C30B056">
      <w:pPr>
        <w:ind w:right="280"/>
        <w:jc w:val="center"/>
        <w:rPr>
          <w:rFonts w:hint="eastAsia" w:ascii="楷体_GB2312" w:hAnsi="宋体" w:eastAsia="楷体_GB2312"/>
          <w:sz w:val="52"/>
          <w:szCs w:val="52"/>
          <w:highlight w:val="yellow"/>
        </w:rPr>
      </w:pPr>
      <w:r>
        <w:rPr>
          <w:rFonts w:hint="eastAsia" w:ascii="楷体_GB2312" w:hAnsi="宋体" w:eastAsia="楷体_GB2312"/>
          <w:sz w:val="52"/>
          <w:szCs w:val="52"/>
          <w:highlight w:val="yellow"/>
        </w:rPr>
        <w:t>济南车桥公司</w:t>
      </w: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产能提升配套柔性吊项目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FSCZB2025120180</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3E7836A9">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12</w:t>
      </w:r>
      <w:r>
        <w:rPr>
          <w:rFonts w:hint="eastAsia" w:ascii="宋体" w:hAnsi="宋体"/>
          <w:sz w:val="28"/>
          <w:szCs w:val="28"/>
          <w:u w:val="single"/>
        </w:rPr>
        <w:t>月</w:t>
      </w:r>
    </w:p>
    <w:p w14:paraId="20E38BBA">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953C7BF">
      <w:pPr>
        <w:pStyle w:val="71"/>
        <w:rPr>
          <w:rFonts w:hint="eastAsia"/>
          <w:sz w:val="28"/>
        </w:rPr>
      </w:pPr>
      <w:bookmarkStart w:id="0" w:name="_Toc7104"/>
      <w:bookmarkStart w:id="1" w:name="_Toc47976587"/>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济南车桥公司产能提升配套柔性吊项目</w:t>
      </w:r>
    </w:p>
    <w:p w14:paraId="15020D03">
      <w:pPr>
        <w:pStyle w:val="73"/>
      </w:pPr>
      <w:r>
        <w:rPr>
          <w:rFonts w:hint="eastAsia"/>
        </w:rPr>
        <w:t>项目编号：</w:t>
      </w:r>
      <w:r>
        <w:rPr>
          <w:rFonts w:hint="eastAsia"/>
          <w:highlight w:val="yellow"/>
        </w:rPr>
        <w:t xml:space="preserve"> FSCZB2025120180</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rPr>
        <w:t>济南车桥公司产能提升配套柔性吊项目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783023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24</w:t>
      </w:r>
      <w:r>
        <w:rPr>
          <w:rFonts w:hint="eastAsia" w:hAnsi="宋体" w:cs="宋体"/>
          <w:b/>
          <w:bCs/>
          <w:szCs w:val="21"/>
        </w:rPr>
        <w:t>日下午17点</w:t>
      </w:r>
    </w:p>
    <w:p w14:paraId="415DF00D">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0AA5580">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62910D4">
      <w:pPr>
        <w:pStyle w:val="72"/>
        <w:rPr>
          <w:highlight w:val="yellow"/>
        </w:rPr>
      </w:pPr>
      <w:r>
        <w:rPr>
          <w:rFonts w:hint="eastAsia"/>
          <w:highlight w:val="yellow"/>
        </w:rPr>
        <w:t>投标文件的递交</w:t>
      </w:r>
    </w:p>
    <w:p w14:paraId="50084A7A">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17B6D47">
      <w:pPr>
        <w:pStyle w:val="72"/>
        <w:rPr>
          <w:highlight w:val="yellow"/>
        </w:rPr>
      </w:pPr>
      <w:r>
        <w:rPr>
          <w:rFonts w:hint="eastAsia"/>
          <w:highlight w:val="yellow"/>
          <w:lang w:val="en-US" w:eastAsia="zh-CN"/>
        </w:rPr>
        <w:t>开标时间和地点</w:t>
      </w:r>
    </w:p>
    <w:p w14:paraId="0605A00C">
      <w:pPr>
        <w:pStyle w:val="72"/>
        <w:numPr>
          <w:ilvl w:val="0"/>
          <w:numId w:val="11"/>
        </w:numPr>
        <w:ind w:left="840"/>
        <w:rPr>
          <w:highlight w:val="yellow"/>
        </w:rPr>
      </w:pPr>
      <w:r>
        <w:rPr>
          <w:rFonts w:hint="eastAsia" w:ascii="宋体" w:hAnsi="宋体" w:eastAsia="宋体" w:cs="宋体"/>
          <w:sz w:val="21"/>
          <w:szCs w:val="21"/>
          <w:highlight w:val="yellow"/>
        </w:rPr>
        <w:t>时间：202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年1月</w:t>
      </w:r>
      <w:r>
        <w:rPr>
          <w:rFonts w:hint="eastAsia" w:ascii="宋体" w:hAnsi="宋体" w:eastAsia="宋体" w:cs="宋体"/>
          <w:sz w:val="21"/>
          <w:szCs w:val="21"/>
          <w:highlight w:val="yellow"/>
          <w:lang w:val="en-US" w:eastAsia="zh-CN"/>
        </w:rPr>
        <w:t>4</w:t>
      </w:r>
      <w:r>
        <w:rPr>
          <w:rFonts w:hint="eastAsia" w:ascii="宋体" w:hAnsi="宋体" w:eastAsia="宋体" w:cs="宋体"/>
          <w:sz w:val="21"/>
          <w:szCs w:val="21"/>
          <w:highlight w:val="yellow"/>
        </w:rPr>
        <w:t>日9:00:00（暂定，以实际通知为准）</w:t>
      </w:r>
    </w:p>
    <w:p w14:paraId="30BF883D">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5A57CFF">
      <w:pPr>
        <w:pStyle w:val="72"/>
      </w:pPr>
      <w:r>
        <w:rPr>
          <w:rFonts w:hint="eastAsia"/>
        </w:rPr>
        <w:t>招标公告发布媒介</w:t>
      </w:r>
    </w:p>
    <w:p w14:paraId="6F2303DF">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4C39891A">
      <w:pPr>
        <w:pStyle w:val="72"/>
        <w:rPr>
          <w:highlight w:val="yellow"/>
        </w:rPr>
      </w:pPr>
      <w:r>
        <w:rPr>
          <w:rFonts w:hint="eastAsia"/>
          <w:highlight w:val="yellow"/>
        </w:rPr>
        <w:t>联系方式</w:t>
      </w:r>
    </w:p>
    <w:p w14:paraId="167EDC3D">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2B0A2BE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4DF15943">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23B952B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066A2C4A">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ascii="宋体" w:hAnsi="宋体" w:eastAsia="宋体" w:cs="宋体"/>
          <w:sz w:val="24"/>
          <w:szCs w:val="24"/>
        </w:rPr>
        <w:t>王宏宇</w:t>
      </w:r>
    </w:p>
    <w:p w14:paraId="3CD3383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w:t>
      </w:r>
      <w:r>
        <w:rPr>
          <w:rFonts w:ascii="宋体" w:hAnsi="宋体" w:eastAsia="宋体" w:cs="宋体"/>
          <w:sz w:val="24"/>
          <w:szCs w:val="24"/>
        </w:rPr>
        <w:t>17853167811</w:t>
      </w:r>
    </w:p>
    <w:p w14:paraId="38AD5950">
      <w:pPr>
        <w:pStyle w:val="72"/>
        <w:numPr>
          <w:ilvl w:val="0"/>
          <w:numId w:val="0"/>
        </w:numPr>
        <w:ind w:leftChars="0" w:firstLine="422" w:firstLineChars="200"/>
        <w:rPr>
          <w:highlight w:val="yellow"/>
        </w:rPr>
      </w:pPr>
      <w:r>
        <w:rPr>
          <w:rFonts w:hint="eastAsia" w:ascii="宋体" w:hAnsi="宋体" w:eastAsia="宋体" w:cs="宋体"/>
          <w:b/>
          <w:bCs/>
          <w:sz w:val="21"/>
          <w:szCs w:val="21"/>
        </w:rPr>
        <w:t>邮箱：</w:t>
      </w:r>
      <w:r>
        <w:rPr>
          <w:rFonts w:ascii="宋体" w:hAnsi="宋体" w:eastAsia="宋体" w:cs="宋体"/>
          <w:sz w:val="24"/>
          <w:szCs w:val="24"/>
        </w:rPr>
        <w:t>wanghongyu@sinotruk.com</w:t>
      </w:r>
      <w:bookmarkStart w:id="1403" w:name="_GoBack"/>
      <w:bookmarkEnd w:id="1403"/>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12</w:t>
      </w:r>
      <w:r>
        <w:rPr>
          <w:rFonts w:hint="eastAsia"/>
        </w:rPr>
        <w:t>月</w:t>
      </w:r>
      <w:r>
        <w:rPr>
          <w:rFonts w:hint="eastAsia"/>
          <w:lang w:val="en-US" w:eastAsia="zh-CN"/>
        </w:rPr>
        <w:t>18</w:t>
      </w:r>
      <w:r>
        <w:rPr>
          <w:rFonts w:hint="eastAsia"/>
        </w:rPr>
        <w:t>日</w:t>
      </w:r>
    </w:p>
    <w:p w14:paraId="04C96706">
      <w:pPr>
        <w:pStyle w:val="76"/>
      </w:pPr>
    </w:p>
    <w:p w14:paraId="3D820EEC">
      <w:pPr>
        <w:pStyle w:val="71"/>
      </w:pPr>
      <w:bookmarkStart w:id="5" w:name="_Toc7753"/>
      <w:bookmarkStart w:id="6" w:name="_Toc47976595"/>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742B3A80">
      <w:pPr>
        <w:pStyle w:val="76"/>
        <w:numPr>
          <w:ilvl w:val="0"/>
          <w:numId w:val="13"/>
        </w:numPr>
        <w:ind w:left="425" w:leftChars="0" w:hanging="425" w:firstLineChars="0"/>
      </w:pPr>
      <w:bookmarkStart w:id="8" w:name="_Toc47112482"/>
      <w:r>
        <w:rPr>
          <w:rFonts w:hint="eastAsia"/>
          <w:lang w:val="en-US" w:eastAsia="zh-CN"/>
        </w:rPr>
        <w:t>项目概况：</w:t>
      </w:r>
      <w:r>
        <w:rPr>
          <w:rFonts w:hint="eastAsia"/>
          <w:highlight w:val="yellow"/>
        </w:rPr>
        <w:t>主减、驱动桥及轮毂产能提升配套柔性吊项目，共计18套柔性吊</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426F9F0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拟投标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p>
    <w:p w14:paraId="02DDE48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2.拟投标人应提供营业执照副本原件和扫描件（需盖章）；</w:t>
      </w:r>
    </w:p>
    <w:p w14:paraId="3F8E505E">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3.拟投标人应提供法定代表人资格证明文件；</w:t>
      </w:r>
    </w:p>
    <w:p w14:paraId="12740E4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4.在“国家企业信用信息公示系统”“中国执行信息公开网”“信用中国”“天眼查”“裁判文书网”等信息平台中，无行政处罚及失信记录等信息；</w:t>
      </w:r>
    </w:p>
    <w:p w14:paraId="3E357606">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5.拟投标人不存在严重违规或被列入招标人“黑名单”的声明；</w:t>
      </w:r>
    </w:p>
    <w:p w14:paraId="48E4699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4C3F0FB2">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7.拟投标人有与本次招标内容相同或类似项目业绩，且近3年内无因服务不当而造成重大事故；</w:t>
      </w:r>
    </w:p>
    <w:p w14:paraId="4E2FEE1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8.拟投标人近三年内在经营活动中无与本项目有关的违法及重大违规情况；</w:t>
      </w:r>
    </w:p>
    <w:p w14:paraId="73ED3D75">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9.拟投标人须认可招标人的工作指令，包括节、假日能正常开展工作的要求；</w:t>
      </w:r>
    </w:p>
    <w:p w14:paraId="5CE67EA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10.拟投标人财务状况良好，最近半年纳税正常；</w:t>
      </w:r>
    </w:p>
    <w:p w14:paraId="0DF5EF85">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11.拟投标人信用证明材料（征信中心出具的信用报告）未显示异常；</w:t>
      </w:r>
    </w:p>
    <w:p w14:paraId="1F25C49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12.拟投标人的直接或间接股东、法定代表人、董事、监事、高管非重汽员工及其亲属；</w:t>
      </w:r>
    </w:p>
    <w:p w14:paraId="54AF2E52">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13.投标单位需为设备制造单位；</w:t>
      </w:r>
    </w:p>
    <w:p w14:paraId="03BBBE7D">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14.本项目不接受联合体投标，拟投标人必须是最终投标单位和签订合同单位，不得以任何理由将已中标项目以任何形式分包或转包给其他单位；</w:t>
      </w:r>
    </w:p>
    <w:p w14:paraId="425FD27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15.无招标违规、谎报年度报告信息、提供虚假资质资料等行为或其他行政处罚记录。</w:t>
      </w:r>
    </w:p>
    <w:p w14:paraId="7A9C58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s="Times New Roman"/>
          <w:b/>
          <w:bCs w:val="0"/>
          <w:strike w:val="0"/>
          <w:dstrike w:val="0"/>
          <w:color w:val="FF0000"/>
          <w:highlight w:val="none"/>
          <w:lang w:val="en-US" w:eastAsia="zh-CN"/>
        </w:rPr>
      </w:pPr>
      <w:r>
        <w:rPr>
          <w:rFonts w:hint="eastAsia"/>
          <w:b w:val="0"/>
          <w:bCs/>
          <w:strike w:val="0"/>
          <w:dstrike w:val="0"/>
          <w:highlight w:val="none"/>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B7F8E5">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12</w:t>
      </w:r>
      <w:r>
        <w:rPr>
          <w:rFonts w:hint="eastAsia" w:ascii="宋体" w:hAnsi="Courier New" w:eastAsia="宋体" w:cs="Times New Roman"/>
          <w:highlight w:val="yellow"/>
          <w:lang w:val="en-US" w:eastAsia="zh-CN"/>
        </w:rPr>
        <w:t>月</w:t>
      </w:r>
      <w:r>
        <w:rPr>
          <w:rFonts w:hint="eastAsia" w:cs="Times New Roman"/>
          <w:highlight w:val="yellow"/>
          <w:lang w:val="en-US" w:eastAsia="zh-CN"/>
        </w:rPr>
        <w:t>18</w:t>
      </w:r>
      <w:r>
        <w:rPr>
          <w:rFonts w:hint="eastAsia" w:ascii="宋体" w:hAnsi="Courier New" w:eastAsia="宋体" w:cs="Times New Roman"/>
          <w:highlight w:val="yellow"/>
          <w:lang w:val="en-US" w:eastAsia="zh-CN"/>
        </w:rPr>
        <w:t>日</w:t>
      </w:r>
    </w:p>
    <w:p w14:paraId="6696BE44">
      <w:pPr>
        <w:pStyle w:val="76"/>
        <w:numPr>
          <w:ilvl w:val="0"/>
          <w:numId w:val="14"/>
        </w:numPr>
        <w:jc w:val="both"/>
        <w:rPr>
          <w:highlight w:val="yellow"/>
        </w:rPr>
      </w:pPr>
      <w:r>
        <w:rPr>
          <w:rFonts w:hint="eastAsia"/>
          <w:highlight w:val="yellow"/>
        </w:rPr>
        <w:t>招标文件领取方式：线上</w:t>
      </w:r>
    </w:p>
    <w:p w14:paraId="7227B83F">
      <w:pPr>
        <w:pStyle w:val="76"/>
        <w:ind w:firstLine="210" w:firstLineChars="100"/>
        <w:jc w:val="both"/>
        <w:rPr>
          <w:highlight w:val="yellow"/>
        </w:rPr>
      </w:pPr>
      <w:r>
        <w:rPr>
          <w:rFonts w:hint="eastAsia"/>
          <w:highlight w:val="yellow"/>
        </w:rPr>
        <w:t>地点：中国重汽e采通平台</w:t>
      </w:r>
    </w:p>
    <w:p w14:paraId="23F0372F">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24</w:t>
      </w:r>
      <w:r>
        <w:rPr>
          <w:rFonts w:hint="eastAsia"/>
          <w:highlight w:val="yellow"/>
        </w:rPr>
        <w:t>日</w:t>
      </w:r>
    </w:p>
    <w:p w14:paraId="17A6C50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24</w:t>
      </w:r>
      <w:r>
        <w:rPr>
          <w:rFonts w:hint="eastAsia"/>
          <w:highlight w:val="yellow"/>
        </w:rPr>
        <w:t>日</w:t>
      </w:r>
      <w:r>
        <w:rPr>
          <w:rFonts w:hint="eastAsia" w:hAnsi="宋体" w:cs="宋体"/>
          <w:bCs/>
          <w:szCs w:val="21"/>
          <w:highlight w:val="yellow"/>
        </w:rPr>
        <w:t>12:00:00</w:t>
      </w:r>
      <w:r>
        <w:rPr>
          <w:rFonts w:hint="eastAsia"/>
          <w:highlight w:val="yellow"/>
        </w:rPr>
        <w:t>前</w:t>
      </w:r>
    </w:p>
    <w:p w14:paraId="01EBFC3B">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FADF0D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24</w:t>
      </w:r>
      <w:r>
        <w:rPr>
          <w:rFonts w:hint="eastAsia"/>
          <w:highlight w:val="yellow"/>
        </w:rPr>
        <w:t>日</w:t>
      </w:r>
      <w:r>
        <w:rPr>
          <w:rFonts w:hint="eastAsia" w:hAnsi="宋体" w:cs="宋体"/>
          <w:bCs/>
          <w:szCs w:val="21"/>
          <w:highlight w:val="yellow"/>
        </w:rPr>
        <w:t>17:00:00</w:t>
      </w:r>
      <w:r>
        <w:rPr>
          <w:rFonts w:hint="eastAsia"/>
          <w:highlight w:val="yellow"/>
        </w:rPr>
        <w:t>前：</w:t>
      </w:r>
    </w:p>
    <w:p w14:paraId="1E73F3C6">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405E3A8F">
      <w:pPr>
        <w:pStyle w:val="76"/>
        <w:numPr>
          <w:ilvl w:val="0"/>
          <w:numId w:val="14"/>
        </w:numPr>
        <w:jc w:val="both"/>
        <w:rPr>
          <w:highlight w:val="yellow"/>
        </w:rPr>
      </w:pPr>
      <w:r>
        <w:rPr>
          <w:rFonts w:hint="eastAsia"/>
          <w:highlight w:val="yellow"/>
        </w:rPr>
        <w:t>报名方式：在“中国重汽e采通”平台报名</w:t>
      </w:r>
    </w:p>
    <w:p w14:paraId="1EE55B0A">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w:t>
      </w:r>
      <w:r>
        <w:rPr>
          <w:rFonts w:hint="eastAsia" w:hAnsi="宋体" w:cs="宋体"/>
          <w:sz w:val="24"/>
          <w:szCs w:val="24"/>
          <w:highlight w:val="yellow"/>
          <w:lang w:val="en-US" w:eastAsia="zh-CN"/>
        </w:rPr>
        <w:t>12</w:t>
      </w:r>
      <w:r>
        <w:rPr>
          <w:rFonts w:hint="eastAsia" w:hAnsi="宋体" w:cs="宋体"/>
          <w:sz w:val="24"/>
          <w:szCs w:val="24"/>
          <w:highlight w:val="yellow"/>
        </w:rPr>
        <w:t>月</w:t>
      </w:r>
      <w:r>
        <w:rPr>
          <w:rFonts w:hint="eastAsia" w:hAnsi="宋体" w:cs="宋体"/>
          <w:sz w:val="24"/>
          <w:szCs w:val="24"/>
          <w:highlight w:val="yellow"/>
          <w:lang w:val="en-US" w:eastAsia="zh-CN"/>
        </w:rPr>
        <w:t>24</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6"/>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19"/>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19"/>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19"/>
        </w:numPr>
        <w:ind w:left="425" w:leftChars="0" w:hanging="425" w:firstLineChars="0"/>
        <w:rPr>
          <w:b w:val="0"/>
          <w:bCs/>
          <w:highlight w:val="yellow"/>
        </w:rPr>
      </w:pPr>
      <w:r>
        <w:rPr>
          <w:rFonts w:hint="eastAsia"/>
          <w:b w:val="0"/>
          <w:bCs/>
          <w:highlight w:val="yellow"/>
        </w:rPr>
        <w:t>技术规格偏离表；</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0"/>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0"/>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0"/>
        </w:numPr>
        <w:ind w:left="425" w:leftChars="0" w:hanging="425" w:firstLineChars="0"/>
        <w:rPr>
          <w:b w:val="0"/>
          <w:bCs/>
          <w:highlight w:val="yellow"/>
        </w:rPr>
      </w:pPr>
      <w:r>
        <w:rPr>
          <w:rFonts w:hint="eastAsia"/>
          <w:b w:val="0"/>
          <w:bCs/>
          <w:highlight w:val="yellow"/>
        </w:rPr>
        <w:t>商务条款偏离表；</w:t>
      </w:r>
    </w:p>
    <w:p w14:paraId="6D87D854">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34.62 </w:t>
      </w:r>
      <w:r>
        <w:rPr>
          <w:rFonts w:hint="eastAsia" w:cs="Times New Roman"/>
          <w:b w:val="0"/>
          <w:bCs/>
          <w:highlight w:val="none"/>
        </w:rPr>
        <w:t>万元（含税），超过投标限价无法投标。</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A1401BC">
      <w:pPr>
        <w:pStyle w:val="75"/>
        <w:numPr>
          <w:ilvl w:val="0"/>
          <w:numId w:val="21"/>
        </w:numPr>
        <w:rPr>
          <w:bCs/>
        </w:rPr>
      </w:pPr>
      <w:r>
        <w:rPr>
          <w:rFonts w:hint="eastAsia"/>
          <w:bCs/>
        </w:rPr>
        <w:t>投标方式：</w:t>
      </w:r>
      <w:r>
        <w:rPr>
          <w:rFonts w:hint="eastAsia"/>
        </w:rPr>
        <w:t>在“中国重汽e采通”平台</w:t>
      </w:r>
      <w:r>
        <w:rPr>
          <w:rFonts w:hint="eastAsia"/>
          <w:bCs/>
        </w:rPr>
        <w:t>线上投标</w:t>
      </w:r>
    </w:p>
    <w:p w14:paraId="44000553">
      <w:pPr>
        <w:pStyle w:val="75"/>
        <w:numPr>
          <w:ilvl w:val="0"/>
          <w:numId w:val="21"/>
        </w:numPr>
        <w:rPr>
          <w:bCs/>
        </w:rPr>
      </w:pPr>
      <w:r>
        <w:rPr>
          <w:rFonts w:hint="eastAsia"/>
          <w:bCs/>
        </w:rPr>
        <w:t>联系人及联系方式：郭朝琛/</w:t>
      </w:r>
      <w:r>
        <w:rPr>
          <w:rFonts w:hint="eastAsia"/>
          <w:bCs/>
          <w:lang w:val="en-US" w:eastAsia="zh-CN"/>
        </w:rPr>
        <w:t>17860606311</w:t>
      </w:r>
    </w:p>
    <w:p w14:paraId="3BC432A8">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w:t>
      </w:r>
      <w:r>
        <w:rPr>
          <w:rFonts w:hint="eastAsia"/>
          <w:bCs/>
          <w:highlight w:val="yellow"/>
          <w:lang w:val="en-US" w:eastAsia="zh-CN"/>
        </w:rPr>
        <w:t>6</w:t>
      </w:r>
      <w:r>
        <w:rPr>
          <w:rFonts w:hint="eastAsia"/>
          <w:bCs/>
          <w:highlight w:val="yellow"/>
        </w:rPr>
        <w:t>年1月</w:t>
      </w:r>
      <w:r>
        <w:rPr>
          <w:rFonts w:hint="eastAsia"/>
          <w:bCs/>
          <w:highlight w:val="yellow"/>
          <w:lang w:val="en-US" w:eastAsia="zh-CN"/>
        </w:rPr>
        <w:t>4</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2"/>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3"/>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3"/>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5BBFD97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年1月</w:t>
      </w:r>
      <w:r>
        <w:rPr>
          <w:rFonts w:hint="eastAsia" w:ascii="宋体" w:hAnsi="宋体" w:eastAsia="宋体" w:cs="宋体"/>
          <w:b w:val="0"/>
          <w:bCs w:val="0"/>
          <w:sz w:val="21"/>
          <w:szCs w:val="21"/>
          <w:highlight w:val="yellow"/>
          <w:lang w:val="en-US" w:eastAsia="zh-CN"/>
        </w:rPr>
        <w:t>4</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p>
    <w:p w14:paraId="19143F1A">
      <w:pPr>
        <w:pStyle w:val="72"/>
        <w:numPr>
          <w:ilvl w:val="0"/>
          <w:numId w:val="24"/>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年1月</w:t>
      </w:r>
      <w:r>
        <w:rPr>
          <w:rFonts w:hint="eastAsia" w:ascii="宋体" w:hAnsi="宋体" w:eastAsia="宋体" w:cs="宋体"/>
          <w:b w:val="0"/>
          <w:bCs w:val="0"/>
          <w:sz w:val="21"/>
          <w:szCs w:val="21"/>
          <w:highlight w:val="yellow"/>
          <w:lang w:val="en-US" w:eastAsia="zh-CN"/>
        </w:rPr>
        <w:t>4</w:t>
      </w:r>
      <w:r>
        <w:rPr>
          <w:rFonts w:hint="eastAsia" w:ascii="宋体" w:hAnsi="宋体" w:eastAsia="宋体" w:cs="宋体"/>
          <w:b w:val="0"/>
          <w:bCs w:val="0"/>
          <w:sz w:val="21"/>
          <w:szCs w:val="21"/>
          <w:highlight w:val="yellow"/>
        </w:rPr>
        <w:t>日9:00:00</w:t>
      </w:r>
      <w:r>
        <w:rPr>
          <w:rFonts w:hint="eastAsia" w:ascii="宋体" w:hAnsi="宋体" w:eastAsia="宋体" w:cs="宋体"/>
          <w:b w:val="0"/>
          <w:bCs w:val="0"/>
          <w:sz w:val="21"/>
          <w:szCs w:val="21"/>
          <w:highlight w:val="yellow"/>
          <w:lang w:eastAsia="zh-CN"/>
        </w:rPr>
        <w:t>（暂定，以实际通知为准）</w:t>
      </w:r>
    </w:p>
    <w:p w14:paraId="1D1DB840">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5"/>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69021D9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投标人得分＝∑评委评价得分/评委人数＋商务标得分</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0"/>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225"/>
        <w:gridCol w:w="775"/>
        <w:gridCol w:w="5000"/>
      </w:tblGrid>
      <w:tr w14:paraId="0CE0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825" w:type="dxa"/>
            <w:tcBorders>
              <w:top w:val="single" w:color="auto" w:sz="4" w:space="0"/>
              <w:left w:val="single" w:color="auto" w:sz="4" w:space="0"/>
              <w:bottom w:val="single" w:color="auto" w:sz="4" w:space="0"/>
              <w:right w:val="single" w:color="auto" w:sz="4" w:space="0"/>
            </w:tcBorders>
            <w:vAlign w:val="center"/>
          </w:tcPr>
          <w:p w14:paraId="107A1D2D">
            <w:pPr>
              <w:spacing w:line="360" w:lineRule="auto"/>
              <w:ind w:right="-6"/>
              <w:jc w:val="center"/>
              <w:rPr>
                <w:rFonts w:hint="eastAsia" w:ascii="宋体" w:hAnsi="宋体" w:eastAsiaTheme="minorEastAsia"/>
                <w:b/>
                <w:sz w:val="18"/>
                <w:szCs w:val="18"/>
                <w:lang w:val="en-US" w:eastAsia="zh-CN"/>
              </w:rPr>
            </w:pPr>
            <w:r>
              <w:rPr>
                <w:rFonts w:hint="eastAsia" w:ascii="宋体" w:hAnsi="宋体"/>
                <w:b/>
                <w:sz w:val="18"/>
                <w:szCs w:val="18"/>
                <w:lang w:val="en-US" w:eastAsia="zh-CN"/>
              </w:rPr>
              <w:t>一</w:t>
            </w:r>
          </w:p>
        </w:tc>
        <w:tc>
          <w:tcPr>
            <w:tcW w:w="9000" w:type="dxa"/>
            <w:gridSpan w:val="3"/>
            <w:tcBorders>
              <w:top w:val="single" w:color="auto" w:sz="4" w:space="0"/>
              <w:left w:val="single" w:color="auto" w:sz="4" w:space="0"/>
              <w:bottom w:val="single" w:color="auto" w:sz="4" w:space="0"/>
              <w:right w:val="single" w:color="auto" w:sz="4" w:space="0"/>
            </w:tcBorders>
            <w:vAlign w:val="center"/>
          </w:tcPr>
          <w:p w14:paraId="634C0C38">
            <w:pPr>
              <w:spacing w:line="360" w:lineRule="auto"/>
              <w:ind w:right="-6"/>
              <w:jc w:val="center"/>
              <w:rPr>
                <w:rFonts w:hint="eastAsia" w:ascii="宋体" w:hAnsi="宋体" w:eastAsiaTheme="minorEastAsia"/>
                <w:b/>
                <w:sz w:val="18"/>
                <w:szCs w:val="18"/>
                <w:lang w:val="en-US" w:eastAsia="zh-CN"/>
              </w:rPr>
            </w:pPr>
            <w:r>
              <w:rPr>
                <w:rFonts w:hint="eastAsia" w:ascii="宋体" w:hAnsi="宋体" w:eastAsia="宋体" w:cs="宋体"/>
                <w:b/>
                <w:sz w:val="28"/>
                <w:szCs w:val="28"/>
                <w:lang w:val="en-US" w:eastAsia="zh-CN"/>
              </w:rPr>
              <w:t>技术标</w:t>
            </w:r>
          </w:p>
        </w:tc>
      </w:tr>
      <w:tr w14:paraId="715E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25" w:type="dxa"/>
            <w:tcBorders>
              <w:top w:val="single" w:color="auto" w:sz="4" w:space="0"/>
              <w:left w:val="single" w:color="auto" w:sz="4" w:space="0"/>
              <w:bottom w:val="single" w:color="auto" w:sz="4" w:space="0"/>
              <w:right w:val="single" w:color="auto" w:sz="4" w:space="0"/>
            </w:tcBorders>
            <w:vAlign w:val="center"/>
          </w:tcPr>
          <w:p w14:paraId="4DA59B06">
            <w:pPr>
              <w:spacing w:line="360" w:lineRule="auto"/>
              <w:ind w:right="-6"/>
              <w:jc w:val="center"/>
              <w:rPr>
                <w:rFonts w:ascii="宋体" w:hAnsi="Times New Roman" w:eastAsia="宋体"/>
                <w:b/>
                <w:sz w:val="18"/>
                <w:szCs w:val="18"/>
              </w:rPr>
            </w:pPr>
            <w:r>
              <w:rPr>
                <w:rFonts w:hint="eastAsia" w:ascii="宋体" w:hAnsi="宋体"/>
                <w:b/>
                <w:sz w:val="18"/>
                <w:szCs w:val="18"/>
              </w:rPr>
              <w:t>序号</w:t>
            </w:r>
          </w:p>
        </w:tc>
        <w:tc>
          <w:tcPr>
            <w:tcW w:w="3225" w:type="dxa"/>
            <w:tcBorders>
              <w:top w:val="single" w:color="auto" w:sz="4" w:space="0"/>
              <w:left w:val="single" w:color="auto" w:sz="4" w:space="0"/>
              <w:bottom w:val="single" w:color="auto" w:sz="4" w:space="0"/>
              <w:right w:val="single" w:color="auto" w:sz="4" w:space="0"/>
            </w:tcBorders>
            <w:vAlign w:val="center"/>
          </w:tcPr>
          <w:p w14:paraId="707CAA34">
            <w:pPr>
              <w:spacing w:line="360" w:lineRule="auto"/>
              <w:ind w:right="-6"/>
              <w:jc w:val="center"/>
              <w:rPr>
                <w:rFonts w:ascii="宋体" w:hAnsi="Times New Roman" w:eastAsia="宋体"/>
                <w:b/>
                <w:sz w:val="18"/>
                <w:szCs w:val="18"/>
              </w:rPr>
            </w:pPr>
            <w:r>
              <w:rPr>
                <w:rFonts w:hint="eastAsia" w:ascii="宋体" w:hAnsi="宋体"/>
                <w:b/>
                <w:sz w:val="18"/>
                <w:szCs w:val="18"/>
              </w:rPr>
              <w:t>内   容</w:t>
            </w:r>
          </w:p>
        </w:tc>
        <w:tc>
          <w:tcPr>
            <w:tcW w:w="775" w:type="dxa"/>
            <w:tcBorders>
              <w:top w:val="single" w:color="auto" w:sz="4" w:space="0"/>
              <w:left w:val="single" w:color="auto" w:sz="4" w:space="0"/>
              <w:bottom w:val="single" w:color="auto" w:sz="4" w:space="0"/>
              <w:right w:val="single" w:color="auto" w:sz="4" w:space="0"/>
            </w:tcBorders>
            <w:vAlign w:val="center"/>
          </w:tcPr>
          <w:p w14:paraId="49B1210C">
            <w:pPr>
              <w:spacing w:line="360" w:lineRule="auto"/>
              <w:ind w:right="-6"/>
              <w:jc w:val="center"/>
              <w:rPr>
                <w:rFonts w:ascii="宋体" w:hAnsi="Times New Roman" w:eastAsia="宋体"/>
                <w:b/>
                <w:sz w:val="18"/>
                <w:szCs w:val="18"/>
              </w:rPr>
            </w:pPr>
            <w:r>
              <w:rPr>
                <w:rFonts w:hint="eastAsia" w:ascii="宋体" w:hAnsi="宋体"/>
                <w:b/>
                <w:sz w:val="18"/>
                <w:szCs w:val="18"/>
              </w:rPr>
              <w:t>标准分</w:t>
            </w:r>
          </w:p>
        </w:tc>
        <w:tc>
          <w:tcPr>
            <w:tcW w:w="5000" w:type="dxa"/>
            <w:tcBorders>
              <w:top w:val="single" w:color="auto" w:sz="4" w:space="0"/>
              <w:left w:val="single" w:color="auto" w:sz="4" w:space="0"/>
              <w:bottom w:val="single" w:color="auto" w:sz="4" w:space="0"/>
              <w:right w:val="single" w:color="auto" w:sz="4" w:space="0"/>
            </w:tcBorders>
            <w:vAlign w:val="center"/>
          </w:tcPr>
          <w:p w14:paraId="6EC71D0D">
            <w:pPr>
              <w:spacing w:line="360" w:lineRule="auto"/>
              <w:ind w:right="-6"/>
              <w:jc w:val="center"/>
              <w:rPr>
                <w:rFonts w:ascii="宋体" w:hAnsi="Times New Roman" w:eastAsia="宋体"/>
                <w:b/>
                <w:sz w:val="18"/>
                <w:szCs w:val="18"/>
              </w:rPr>
            </w:pPr>
            <w:r>
              <w:rPr>
                <w:rFonts w:hint="eastAsia" w:ascii="宋体" w:hAnsi="宋体"/>
                <w:b/>
                <w:sz w:val="18"/>
                <w:szCs w:val="18"/>
              </w:rPr>
              <w:t>评分标准</w:t>
            </w:r>
          </w:p>
        </w:tc>
      </w:tr>
      <w:tr w14:paraId="1EDF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825" w:type="dxa"/>
            <w:tcBorders>
              <w:top w:val="single" w:color="auto" w:sz="4" w:space="0"/>
              <w:left w:val="single" w:color="auto" w:sz="4" w:space="0"/>
              <w:bottom w:val="single" w:color="auto" w:sz="4" w:space="0"/>
              <w:right w:val="single" w:color="auto" w:sz="4" w:space="0"/>
            </w:tcBorders>
            <w:vAlign w:val="center"/>
          </w:tcPr>
          <w:p w14:paraId="671D97D8">
            <w:pPr>
              <w:spacing w:line="420" w:lineRule="exact"/>
              <w:jc w:val="center"/>
              <w:rPr>
                <w:rFonts w:ascii="宋体" w:hAnsi="宋体" w:eastAsia="宋体"/>
                <w:szCs w:val="21"/>
              </w:rPr>
            </w:pPr>
            <w:r>
              <w:rPr>
                <w:rFonts w:hint="eastAsia" w:ascii="宋体" w:hAnsi="宋体"/>
              </w:rPr>
              <w:t>1</w:t>
            </w:r>
          </w:p>
        </w:tc>
        <w:tc>
          <w:tcPr>
            <w:tcW w:w="3225" w:type="dxa"/>
            <w:tcBorders>
              <w:top w:val="single" w:color="auto" w:sz="4" w:space="0"/>
              <w:left w:val="single" w:color="auto" w:sz="4" w:space="0"/>
              <w:bottom w:val="single" w:color="auto" w:sz="4" w:space="0"/>
              <w:right w:val="single" w:color="auto" w:sz="4" w:space="0"/>
            </w:tcBorders>
            <w:vAlign w:val="center"/>
          </w:tcPr>
          <w:p w14:paraId="4CD91471">
            <w:pPr>
              <w:spacing w:line="420" w:lineRule="exact"/>
              <w:rPr>
                <w:rFonts w:ascii="宋体" w:hAnsi="Times New Roman" w:eastAsia="宋体"/>
                <w:szCs w:val="21"/>
              </w:rPr>
            </w:pPr>
            <w:r>
              <w:rPr>
                <w:rFonts w:hint="eastAsia" w:ascii="宋体" w:hAnsi="宋体"/>
                <w:bCs/>
              </w:rPr>
              <w:t>设备制造商装备制造能力、生产设备、加工工艺、完善程度</w:t>
            </w:r>
          </w:p>
        </w:tc>
        <w:tc>
          <w:tcPr>
            <w:tcW w:w="775" w:type="dxa"/>
            <w:tcBorders>
              <w:top w:val="single" w:color="auto" w:sz="4" w:space="0"/>
              <w:left w:val="single" w:color="auto" w:sz="4" w:space="0"/>
              <w:bottom w:val="single" w:color="auto" w:sz="4" w:space="0"/>
              <w:right w:val="single" w:color="auto" w:sz="4" w:space="0"/>
            </w:tcBorders>
            <w:vAlign w:val="center"/>
          </w:tcPr>
          <w:p w14:paraId="179622F2">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14:paraId="7953A6CC">
            <w:pPr>
              <w:spacing w:line="420" w:lineRule="exact"/>
              <w:rPr>
                <w:rFonts w:hint="default" w:ascii="宋体" w:hAnsi="宋体" w:eastAsiaTheme="minorEastAsia"/>
                <w:bCs/>
                <w:szCs w:val="21"/>
                <w:lang w:val="en-US" w:eastAsia="zh-CN"/>
              </w:rPr>
            </w:pPr>
            <w:r>
              <w:rPr>
                <w:rFonts w:hint="eastAsia" w:ascii="宋体" w:hAnsi="宋体"/>
                <w:bCs/>
              </w:rPr>
              <w:t>投标人的装备制造能力、生产设备、加工工艺先进、完善程度，视情况得0-</w:t>
            </w:r>
            <w:r>
              <w:rPr>
                <w:rFonts w:hint="eastAsia" w:ascii="宋体" w:hAnsi="宋体"/>
                <w:bCs/>
                <w:lang w:val="en-US" w:eastAsia="zh-CN"/>
              </w:rPr>
              <w:t>10分。</w:t>
            </w:r>
          </w:p>
        </w:tc>
      </w:tr>
      <w:tr w14:paraId="08FD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trPr>
        <w:tc>
          <w:tcPr>
            <w:tcW w:w="825" w:type="dxa"/>
            <w:tcBorders>
              <w:top w:val="single" w:color="auto" w:sz="4" w:space="0"/>
              <w:left w:val="single" w:color="auto" w:sz="4" w:space="0"/>
              <w:bottom w:val="single" w:color="auto" w:sz="4" w:space="0"/>
              <w:right w:val="single" w:color="auto" w:sz="4" w:space="0"/>
            </w:tcBorders>
            <w:vAlign w:val="center"/>
          </w:tcPr>
          <w:p w14:paraId="4F46821D">
            <w:pPr>
              <w:spacing w:line="420" w:lineRule="exact"/>
              <w:jc w:val="center"/>
              <w:rPr>
                <w:rFonts w:ascii="宋体" w:hAnsi="宋体" w:eastAsia="宋体"/>
                <w:szCs w:val="21"/>
              </w:rPr>
            </w:pPr>
            <w:r>
              <w:rPr>
                <w:rFonts w:hint="eastAsia" w:ascii="宋体" w:hAnsi="宋体"/>
              </w:rPr>
              <w:t>2</w:t>
            </w:r>
          </w:p>
        </w:tc>
        <w:tc>
          <w:tcPr>
            <w:tcW w:w="3225" w:type="dxa"/>
            <w:tcBorders>
              <w:top w:val="single" w:color="auto" w:sz="4" w:space="0"/>
              <w:left w:val="single" w:color="auto" w:sz="4" w:space="0"/>
              <w:bottom w:val="single" w:color="auto" w:sz="4" w:space="0"/>
              <w:right w:val="single" w:color="auto" w:sz="4" w:space="0"/>
            </w:tcBorders>
            <w:vAlign w:val="center"/>
          </w:tcPr>
          <w:p w14:paraId="214D5410">
            <w:pPr>
              <w:spacing w:line="420" w:lineRule="exact"/>
              <w:rPr>
                <w:rFonts w:ascii="宋体" w:hAnsi="Times New Roman" w:eastAsia="宋体"/>
                <w:bCs/>
                <w:szCs w:val="21"/>
              </w:rPr>
            </w:pPr>
            <w:r>
              <w:rPr>
                <w:rFonts w:hint="eastAsia" w:ascii="宋体" w:hAnsi="宋体"/>
                <w:bCs/>
              </w:rPr>
              <w:t>产品方案技术先进、各系统完善、性能可靠，设备主要核心部件，具备自身技术优势</w:t>
            </w:r>
          </w:p>
        </w:tc>
        <w:tc>
          <w:tcPr>
            <w:tcW w:w="775" w:type="dxa"/>
            <w:tcBorders>
              <w:top w:val="single" w:color="auto" w:sz="4" w:space="0"/>
              <w:left w:val="single" w:color="auto" w:sz="4" w:space="0"/>
              <w:bottom w:val="single" w:color="auto" w:sz="4" w:space="0"/>
              <w:right w:val="single" w:color="auto" w:sz="4" w:space="0"/>
            </w:tcBorders>
            <w:vAlign w:val="center"/>
          </w:tcPr>
          <w:p w14:paraId="30518F98">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50</w:t>
            </w:r>
          </w:p>
        </w:tc>
        <w:tc>
          <w:tcPr>
            <w:tcW w:w="5000" w:type="dxa"/>
            <w:tcBorders>
              <w:top w:val="single" w:color="auto" w:sz="4" w:space="0"/>
              <w:left w:val="single" w:color="auto" w:sz="4" w:space="0"/>
              <w:bottom w:val="single" w:color="auto" w:sz="4" w:space="0"/>
              <w:right w:val="single" w:color="auto" w:sz="4" w:space="0"/>
            </w:tcBorders>
            <w:vAlign w:val="center"/>
          </w:tcPr>
          <w:p w14:paraId="5C72D9B7">
            <w:pPr>
              <w:spacing w:line="420" w:lineRule="exact"/>
              <w:rPr>
                <w:rFonts w:hint="default" w:ascii="宋体" w:hAnsi="宋体" w:eastAsiaTheme="minorEastAsia"/>
                <w:bCs/>
                <w:szCs w:val="21"/>
                <w:lang w:val="en-US" w:eastAsia="zh-CN"/>
              </w:rPr>
            </w:pPr>
            <w:r>
              <w:rPr>
                <w:rFonts w:hint="eastAsia" w:ascii="宋体" w:hAnsi="宋体"/>
                <w:bCs/>
              </w:rPr>
              <w:t>产品方案技术先进、各系统完善、性能可靠，设备主要核心部件，具备自身技术优势，节能环保，</w:t>
            </w:r>
            <w:r>
              <w:rPr>
                <w:rFonts w:hint="eastAsia" w:ascii="宋体" w:hAnsi="宋体"/>
                <w:bCs/>
                <w:lang w:val="en-US" w:eastAsia="zh-CN"/>
              </w:rPr>
              <w:t>具备可靠的安全、防坠落措施，</w:t>
            </w:r>
            <w:r>
              <w:rPr>
                <w:rFonts w:hint="eastAsia" w:ascii="宋体" w:hAnsi="宋体"/>
                <w:bCs/>
              </w:rPr>
              <w:t>视情况得0-</w:t>
            </w:r>
            <w:r>
              <w:rPr>
                <w:rFonts w:hint="eastAsia" w:ascii="宋体" w:hAnsi="宋体"/>
                <w:bCs/>
                <w:lang w:val="en-US" w:eastAsia="zh-CN"/>
              </w:rPr>
              <w:t>50分。</w:t>
            </w:r>
          </w:p>
        </w:tc>
      </w:tr>
      <w:tr w14:paraId="10CC3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5" w:hRule="atLeast"/>
        </w:trPr>
        <w:tc>
          <w:tcPr>
            <w:tcW w:w="825" w:type="dxa"/>
            <w:tcBorders>
              <w:top w:val="single" w:color="auto" w:sz="4" w:space="0"/>
              <w:left w:val="single" w:color="auto" w:sz="4" w:space="0"/>
              <w:bottom w:val="single" w:color="auto" w:sz="4" w:space="0"/>
              <w:right w:val="single" w:color="auto" w:sz="4" w:space="0"/>
            </w:tcBorders>
            <w:vAlign w:val="center"/>
          </w:tcPr>
          <w:p w14:paraId="55F32FC7">
            <w:pPr>
              <w:spacing w:line="420" w:lineRule="exact"/>
              <w:jc w:val="center"/>
              <w:rPr>
                <w:rFonts w:ascii="宋体" w:hAnsi="宋体" w:eastAsia="宋体"/>
                <w:szCs w:val="21"/>
              </w:rPr>
            </w:pPr>
            <w:r>
              <w:rPr>
                <w:rFonts w:hint="eastAsia" w:ascii="宋体" w:hAnsi="宋体"/>
              </w:rPr>
              <w:t>3</w:t>
            </w:r>
          </w:p>
        </w:tc>
        <w:tc>
          <w:tcPr>
            <w:tcW w:w="3225" w:type="dxa"/>
            <w:tcBorders>
              <w:top w:val="single" w:color="auto" w:sz="4" w:space="0"/>
              <w:left w:val="single" w:color="auto" w:sz="4" w:space="0"/>
              <w:bottom w:val="single" w:color="auto" w:sz="4" w:space="0"/>
              <w:right w:val="single" w:color="auto" w:sz="4" w:space="0"/>
            </w:tcBorders>
            <w:vAlign w:val="center"/>
          </w:tcPr>
          <w:p w14:paraId="21B22570">
            <w:pPr>
              <w:spacing w:line="420" w:lineRule="exact"/>
              <w:rPr>
                <w:rFonts w:ascii="宋体" w:hAnsi="Times New Roman" w:eastAsia="宋体"/>
                <w:bCs/>
                <w:szCs w:val="21"/>
              </w:rPr>
            </w:pPr>
            <w:r>
              <w:rPr>
                <w:rFonts w:hint="eastAsia" w:ascii="宋体" w:hAnsi="宋体"/>
                <w:bCs/>
              </w:rPr>
              <w:t>产品维保</w:t>
            </w:r>
          </w:p>
        </w:tc>
        <w:tc>
          <w:tcPr>
            <w:tcW w:w="775" w:type="dxa"/>
            <w:tcBorders>
              <w:top w:val="single" w:color="auto" w:sz="4" w:space="0"/>
              <w:left w:val="single" w:color="auto" w:sz="4" w:space="0"/>
              <w:bottom w:val="single" w:color="auto" w:sz="4" w:space="0"/>
              <w:right w:val="single" w:color="auto" w:sz="4" w:space="0"/>
            </w:tcBorders>
            <w:vAlign w:val="center"/>
          </w:tcPr>
          <w:p w14:paraId="4BBF9188">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14:paraId="72EF5AE6">
            <w:pPr>
              <w:spacing w:line="420" w:lineRule="exact"/>
              <w:rPr>
                <w:rFonts w:ascii="宋体" w:hAnsi="宋体" w:eastAsia="宋体"/>
                <w:bCs/>
                <w:szCs w:val="21"/>
              </w:rPr>
            </w:pPr>
            <w:r>
              <w:rPr>
                <w:rFonts w:hint="eastAsia" w:ascii="宋体" w:hAnsi="宋体"/>
                <w:bCs/>
              </w:rPr>
              <w:t>易于维修、操作方便，产品附件配置齐全，质量可靠，设备在使用期内的维护费用，视情况得0-5</w:t>
            </w:r>
            <w:r>
              <w:rPr>
                <w:rFonts w:hint="eastAsia" w:ascii="宋体" w:hAnsi="宋体"/>
                <w:bCs/>
                <w:lang w:val="en-US" w:eastAsia="zh-CN"/>
              </w:rPr>
              <w:t>分。</w:t>
            </w:r>
          </w:p>
        </w:tc>
      </w:tr>
      <w:tr w14:paraId="27FA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24E2405A">
            <w:pPr>
              <w:spacing w:line="420" w:lineRule="exact"/>
              <w:jc w:val="center"/>
              <w:rPr>
                <w:rFonts w:hint="eastAsia" w:ascii="宋体" w:hAnsi="宋体" w:eastAsia="宋体"/>
                <w:szCs w:val="21"/>
                <w:lang w:eastAsia="zh-CN"/>
              </w:rPr>
            </w:pPr>
            <w:r>
              <w:rPr>
                <w:rFonts w:hint="eastAsia" w:ascii="宋体" w:hAnsi="宋体" w:eastAsia="宋体"/>
                <w:lang w:val="en-US" w:eastAsia="zh-CN"/>
              </w:rPr>
              <w:t>4</w:t>
            </w:r>
          </w:p>
        </w:tc>
        <w:tc>
          <w:tcPr>
            <w:tcW w:w="3225" w:type="dxa"/>
            <w:tcBorders>
              <w:top w:val="single" w:color="auto" w:sz="4" w:space="0"/>
              <w:left w:val="single" w:color="auto" w:sz="4" w:space="0"/>
              <w:bottom w:val="single" w:color="auto" w:sz="4" w:space="0"/>
              <w:right w:val="single" w:color="auto" w:sz="4" w:space="0"/>
            </w:tcBorders>
            <w:vAlign w:val="center"/>
          </w:tcPr>
          <w:p w14:paraId="0BE38B42">
            <w:pPr>
              <w:spacing w:line="420" w:lineRule="exact"/>
              <w:rPr>
                <w:rFonts w:ascii="宋体" w:hAnsi="Times New Roman" w:eastAsia="宋体"/>
                <w:szCs w:val="21"/>
              </w:rPr>
            </w:pPr>
            <w:r>
              <w:rPr>
                <w:rFonts w:hint="eastAsia" w:ascii="宋体" w:hAnsi="宋体"/>
              </w:rPr>
              <w:t>计划控制</w:t>
            </w:r>
          </w:p>
        </w:tc>
        <w:tc>
          <w:tcPr>
            <w:tcW w:w="775" w:type="dxa"/>
            <w:tcBorders>
              <w:top w:val="single" w:color="auto" w:sz="4" w:space="0"/>
              <w:left w:val="single" w:color="auto" w:sz="4" w:space="0"/>
              <w:bottom w:val="single" w:color="auto" w:sz="4" w:space="0"/>
              <w:right w:val="single" w:color="auto" w:sz="4" w:space="0"/>
            </w:tcBorders>
            <w:vAlign w:val="center"/>
          </w:tcPr>
          <w:p w14:paraId="294CE8EF">
            <w:pPr>
              <w:spacing w:line="420" w:lineRule="exact"/>
              <w:jc w:val="center"/>
              <w:rPr>
                <w:rFonts w:ascii="宋体" w:hAnsi="宋体" w:eastAsia="宋体"/>
                <w:szCs w:val="21"/>
              </w:rPr>
            </w:pPr>
            <w:r>
              <w:rPr>
                <w:rFonts w:hint="eastAsia" w:ascii="宋体" w:hAnsi="宋体"/>
                <w:bCs/>
              </w:rPr>
              <w:t>5</w:t>
            </w:r>
          </w:p>
        </w:tc>
        <w:tc>
          <w:tcPr>
            <w:tcW w:w="5000" w:type="dxa"/>
            <w:tcBorders>
              <w:top w:val="single" w:color="auto" w:sz="4" w:space="0"/>
              <w:left w:val="single" w:color="auto" w:sz="4" w:space="0"/>
              <w:bottom w:val="single" w:color="auto" w:sz="4" w:space="0"/>
              <w:right w:val="single" w:color="auto" w:sz="4" w:space="0"/>
            </w:tcBorders>
            <w:vAlign w:val="center"/>
          </w:tcPr>
          <w:p w14:paraId="12F6D932">
            <w:pPr>
              <w:spacing w:line="420" w:lineRule="exact"/>
              <w:rPr>
                <w:rFonts w:ascii="宋体" w:hAnsi="Times New Roman" w:eastAsia="宋体"/>
                <w:bCs/>
                <w:szCs w:val="21"/>
              </w:rPr>
            </w:pPr>
            <w:r>
              <w:rPr>
                <w:rFonts w:hint="eastAsia" w:ascii="宋体" w:hAnsi="宋体"/>
                <w:bCs/>
              </w:rPr>
              <w:t>有详细可行的行动计划能保证项目进度，有风险管理。综合评审，自主赋分。</w:t>
            </w:r>
          </w:p>
        </w:tc>
      </w:tr>
      <w:tr w14:paraId="7D35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4C8AA4A4">
            <w:pPr>
              <w:spacing w:line="420" w:lineRule="exact"/>
              <w:jc w:val="center"/>
              <w:rPr>
                <w:rFonts w:hint="eastAsia" w:ascii="宋体" w:hAnsi="宋体" w:eastAsia="宋体"/>
                <w:szCs w:val="21"/>
                <w:lang w:eastAsia="zh-CN"/>
              </w:rPr>
            </w:pPr>
            <w:r>
              <w:rPr>
                <w:rFonts w:hint="eastAsia" w:ascii="宋体" w:hAnsi="宋体" w:eastAsia="宋体"/>
                <w:lang w:val="en-US" w:eastAsia="zh-CN"/>
              </w:rPr>
              <w:t>5</w:t>
            </w:r>
          </w:p>
        </w:tc>
        <w:tc>
          <w:tcPr>
            <w:tcW w:w="3225" w:type="dxa"/>
            <w:tcBorders>
              <w:top w:val="single" w:color="auto" w:sz="4" w:space="0"/>
              <w:left w:val="single" w:color="auto" w:sz="4" w:space="0"/>
              <w:bottom w:val="single" w:color="auto" w:sz="4" w:space="0"/>
              <w:right w:val="single" w:color="auto" w:sz="4" w:space="0"/>
            </w:tcBorders>
            <w:vAlign w:val="center"/>
          </w:tcPr>
          <w:p w14:paraId="5C7421FB">
            <w:pPr>
              <w:spacing w:line="420" w:lineRule="exact"/>
              <w:rPr>
                <w:rFonts w:ascii="宋体" w:hAnsi="Times New Roman" w:eastAsia="宋体"/>
                <w:szCs w:val="21"/>
              </w:rPr>
            </w:pPr>
            <w:r>
              <w:rPr>
                <w:rFonts w:hint="eastAsia" w:ascii="宋体" w:hAnsi="宋体"/>
              </w:rPr>
              <w:t>业绩</w:t>
            </w:r>
          </w:p>
        </w:tc>
        <w:tc>
          <w:tcPr>
            <w:tcW w:w="775" w:type="dxa"/>
            <w:tcBorders>
              <w:top w:val="single" w:color="auto" w:sz="4" w:space="0"/>
              <w:left w:val="single" w:color="auto" w:sz="4" w:space="0"/>
              <w:bottom w:val="single" w:color="auto" w:sz="4" w:space="0"/>
              <w:right w:val="single" w:color="auto" w:sz="4" w:space="0"/>
            </w:tcBorders>
            <w:vAlign w:val="center"/>
          </w:tcPr>
          <w:p w14:paraId="34D77C8A">
            <w:pPr>
              <w:spacing w:line="420" w:lineRule="exact"/>
              <w:jc w:val="center"/>
              <w:rPr>
                <w:rFonts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6A9DB991">
            <w:pPr>
              <w:spacing w:line="420" w:lineRule="exact"/>
              <w:rPr>
                <w:rFonts w:ascii="宋体" w:hAnsi="Times New Roman" w:eastAsia="宋体"/>
                <w:bCs/>
                <w:szCs w:val="21"/>
              </w:rPr>
            </w:pPr>
            <w:r>
              <w:rPr>
                <w:rFonts w:hint="eastAsia" w:ascii="宋体" w:hAnsi="宋体"/>
                <w:bCs/>
              </w:rPr>
              <w:t>最近连续三年有国内或国外知名</w:t>
            </w:r>
            <w:r>
              <w:rPr>
                <w:rFonts w:hint="eastAsia" w:ascii="宋体" w:hAnsi="宋体"/>
                <w:bCs/>
                <w:lang w:val="en-US" w:eastAsia="zh-CN"/>
              </w:rPr>
              <w:t>厂家</w:t>
            </w:r>
            <w:r>
              <w:rPr>
                <w:rFonts w:hint="eastAsia" w:ascii="宋体" w:hAnsi="宋体"/>
                <w:bCs/>
              </w:rPr>
              <w:t>供货经历或其他大型供货经历</w:t>
            </w:r>
            <w:r>
              <w:rPr>
                <w:rFonts w:hint="eastAsia" w:ascii="宋体" w:hAnsi="宋体"/>
                <w:bCs/>
                <w:lang w:eastAsia="zh-CN"/>
              </w:rPr>
              <w:t>、</w:t>
            </w:r>
            <w:r>
              <w:rPr>
                <w:rFonts w:hint="eastAsia" w:ascii="宋体" w:hAnsi="宋体"/>
                <w:bCs/>
                <w:lang w:val="en-US" w:eastAsia="zh-CN"/>
              </w:rPr>
              <w:t>安装施工经验，并提供从调试完毕后截至目前实际正常运行时间证明，</w:t>
            </w:r>
            <w:r>
              <w:rPr>
                <w:rFonts w:hint="eastAsia" w:ascii="宋体" w:hAnsi="宋体"/>
                <w:bCs/>
              </w:rPr>
              <w:t>提供3份以上投标同类产品开发合同证明材料，得5分；提供3份得4分；提供2份得3分；提供1份证明材料的，得2分；无证明材料的，不得分。</w:t>
            </w:r>
          </w:p>
        </w:tc>
      </w:tr>
      <w:tr w14:paraId="6798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0A5E340F">
            <w:pPr>
              <w:spacing w:line="420" w:lineRule="exact"/>
              <w:jc w:val="center"/>
              <w:rPr>
                <w:rFonts w:hint="eastAsia" w:ascii="宋体" w:hAnsi="宋体" w:eastAsia="宋体"/>
                <w:szCs w:val="21"/>
                <w:lang w:eastAsia="zh-CN"/>
              </w:rPr>
            </w:pPr>
            <w:r>
              <w:rPr>
                <w:rFonts w:hint="eastAsia" w:ascii="宋体" w:hAnsi="宋体" w:eastAsia="宋体"/>
                <w:lang w:val="en-US" w:eastAsia="zh-CN"/>
              </w:rPr>
              <w:t>6</w:t>
            </w:r>
          </w:p>
        </w:tc>
        <w:tc>
          <w:tcPr>
            <w:tcW w:w="3225" w:type="dxa"/>
            <w:tcBorders>
              <w:top w:val="single" w:color="auto" w:sz="4" w:space="0"/>
              <w:left w:val="single" w:color="auto" w:sz="4" w:space="0"/>
              <w:bottom w:val="single" w:color="auto" w:sz="4" w:space="0"/>
              <w:right w:val="single" w:color="auto" w:sz="4" w:space="0"/>
            </w:tcBorders>
            <w:vAlign w:val="center"/>
          </w:tcPr>
          <w:p w14:paraId="31F92592">
            <w:pPr>
              <w:spacing w:line="420" w:lineRule="exact"/>
              <w:rPr>
                <w:rFonts w:ascii="宋体" w:hAnsi="宋体" w:eastAsia="宋体"/>
                <w:szCs w:val="21"/>
              </w:rPr>
            </w:pPr>
            <w:r>
              <w:rPr>
                <w:rFonts w:hint="eastAsia" w:ascii="宋体" w:hAnsi="宋体"/>
              </w:rPr>
              <w:t>质量保证</w:t>
            </w:r>
          </w:p>
        </w:tc>
        <w:tc>
          <w:tcPr>
            <w:tcW w:w="775" w:type="dxa"/>
            <w:tcBorders>
              <w:top w:val="single" w:color="auto" w:sz="4" w:space="0"/>
              <w:left w:val="single" w:color="auto" w:sz="4" w:space="0"/>
              <w:bottom w:val="single" w:color="auto" w:sz="4" w:space="0"/>
              <w:right w:val="single" w:color="auto" w:sz="4" w:space="0"/>
            </w:tcBorders>
            <w:vAlign w:val="center"/>
          </w:tcPr>
          <w:p w14:paraId="56D5F497">
            <w:pPr>
              <w:spacing w:line="420" w:lineRule="exact"/>
              <w:jc w:val="center"/>
              <w:rPr>
                <w:rFonts w:ascii="宋体" w:hAnsi="宋体" w:eastAsia="宋体"/>
                <w:szCs w:val="21"/>
              </w:rPr>
            </w:pPr>
            <w:r>
              <w:rPr>
                <w:rFonts w:hint="eastAsia" w:ascii="宋体" w:hAnsi="宋体"/>
              </w:rPr>
              <w:t>5</w:t>
            </w:r>
          </w:p>
        </w:tc>
        <w:tc>
          <w:tcPr>
            <w:tcW w:w="5000" w:type="dxa"/>
            <w:tcBorders>
              <w:top w:val="single" w:color="auto" w:sz="4" w:space="0"/>
              <w:left w:val="single" w:color="auto" w:sz="4" w:space="0"/>
              <w:bottom w:val="single" w:color="auto" w:sz="4" w:space="0"/>
              <w:right w:val="single" w:color="auto" w:sz="4" w:space="0"/>
            </w:tcBorders>
            <w:vAlign w:val="center"/>
          </w:tcPr>
          <w:p w14:paraId="2230A05C">
            <w:pPr>
              <w:spacing w:line="420" w:lineRule="exact"/>
              <w:rPr>
                <w:rFonts w:ascii="宋体" w:hAnsi="Times New Roman" w:eastAsia="宋体"/>
                <w:bCs/>
                <w:szCs w:val="21"/>
              </w:rPr>
            </w:pPr>
            <w:r>
              <w:rPr>
                <w:rFonts w:hint="eastAsia" w:ascii="宋体" w:hAnsi="宋体"/>
                <w:bCs/>
              </w:rPr>
              <w:t>具有良好的质量管理体系和完备的检测体系，保证设备造质量符合要求（提供相应证明材料）。根据提供的资料综合评审，自主赋分。</w:t>
            </w:r>
          </w:p>
        </w:tc>
      </w:tr>
      <w:tr w14:paraId="560C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217E0541">
            <w:pPr>
              <w:spacing w:line="420" w:lineRule="exact"/>
              <w:jc w:val="center"/>
              <w:rPr>
                <w:rFonts w:hint="default" w:ascii="宋体" w:hAnsi="宋体" w:eastAsia="宋体"/>
                <w:lang w:val="en-US" w:eastAsia="zh-CN"/>
              </w:rPr>
            </w:pPr>
            <w:r>
              <w:rPr>
                <w:rFonts w:hint="eastAsia" w:ascii="宋体" w:hAnsi="宋体" w:eastAsia="宋体"/>
                <w:lang w:val="en-US" w:eastAsia="zh-CN"/>
              </w:rPr>
              <w:t>7</w:t>
            </w:r>
          </w:p>
        </w:tc>
        <w:tc>
          <w:tcPr>
            <w:tcW w:w="3225" w:type="dxa"/>
            <w:tcBorders>
              <w:top w:val="single" w:color="auto" w:sz="4" w:space="0"/>
              <w:left w:val="single" w:color="auto" w:sz="4" w:space="0"/>
              <w:bottom w:val="single" w:color="auto" w:sz="4" w:space="0"/>
              <w:right w:val="single" w:color="auto" w:sz="4" w:space="0"/>
            </w:tcBorders>
            <w:vAlign w:val="center"/>
          </w:tcPr>
          <w:p w14:paraId="2F6436E4">
            <w:pPr>
              <w:spacing w:line="420" w:lineRule="exact"/>
              <w:rPr>
                <w:rFonts w:hint="eastAsia" w:ascii="宋体" w:hAnsi="宋体" w:eastAsiaTheme="minorEastAsia"/>
                <w:lang w:val="en-US" w:eastAsia="zh-CN"/>
              </w:rPr>
            </w:pPr>
            <w:r>
              <w:rPr>
                <w:rFonts w:hint="eastAsia"/>
                <w:szCs w:val="21"/>
                <w:highlight w:val="none"/>
                <w:lang w:val="en-US" w:eastAsia="zh-CN"/>
              </w:rPr>
              <w:t>技术偏离</w:t>
            </w:r>
          </w:p>
        </w:tc>
        <w:tc>
          <w:tcPr>
            <w:tcW w:w="775" w:type="dxa"/>
            <w:tcBorders>
              <w:top w:val="single" w:color="auto" w:sz="4" w:space="0"/>
              <w:left w:val="single" w:color="auto" w:sz="4" w:space="0"/>
              <w:bottom w:val="single" w:color="auto" w:sz="4" w:space="0"/>
              <w:right w:val="single" w:color="auto" w:sz="4" w:space="0"/>
            </w:tcBorders>
            <w:vAlign w:val="center"/>
          </w:tcPr>
          <w:p w14:paraId="34CD8E62">
            <w:pPr>
              <w:spacing w:line="420" w:lineRule="exact"/>
              <w:jc w:val="center"/>
              <w:rPr>
                <w:rFonts w:hint="eastAsia" w:ascii="宋体" w:hAnsi="宋体" w:eastAsiaTheme="minorEastAsia"/>
                <w:lang w:val="en-US" w:eastAsia="zh-CN"/>
              </w:rPr>
            </w:pPr>
            <w:r>
              <w:rPr>
                <w:rFonts w:hint="eastAsia" w:ascii="宋体" w:hAnsi="宋体"/>
                <w:lang w:val="en-US" w:eastAsia="zh-CN"/>
              </w:rPr>
              <w:t>5</w:t>
            </w:r>
          </w:p>
        </w:tc>
        <w:tc>
          <w:tcPr>
            <w:tcW w:w="5000" w:type="dxa"/>
            <w:tcBorders>
              <w:top w:val="single" w:color="auto" w:sz="4" w:space="0"/>
              <w:left w:val="single" w:color="auto" w:sz="4" w:space="0"/>
              <w:bottom w:val="single" w:color="auto" w:sz="4" w:space="0"/>
              <w:right w:val="single" w:color="auto" w:sz="4" w:space="0"/>
            </w:tcBorders>
            <w:vAlign w:val="center"/>
          </w:tcPr>
          <w:p w14:paraId="41D68752">
            <w:pPr>
              <w:spacing w:line="420" w:lineRule="exact"/>
              <w:rPr>
                <w:rFonts w:hint="eastAsia"/>
                <w:szCs w:val="21"/>
                <w:lang w:val="en-US" w:eastAsia="zh-CN"/>
              </w:rPr>
            </w:pPr>
            <w:r>
              <w:rPr>
                <w:rFonts w:hint="eastAsia"/>
                <w:szCs w:val="21"/>
                <w:lang w:val="en-US" w:eastAsia="zh-CN"/>
              </w:rPr>
              <w:t>技术方案优于招标要求的视情况加1-5分；</w:t>
            </w:r>
          </w:p>
          <w:p w14:paraId="34FED142">
            <w:pPr>
              <w:spacing w:line="420" w:lineRule="exact"/>
              <w:rPr>
                <w:rFonts w:hint="eastAsia" w:ascii="宋体" w:hAnsi="宋体"/>
                <w:bCs/>
              </w:rPr>
            </w:pPr>
            <w:r>
              <w:rPr>
                <w:rFonts w:hint="eastAsia"/>
                <w:szCs w:val="21"/>
                <w:lang w:val="en-US" w:eastAsia="zh-CN"/>
              </w:rPr>
              <w:t>不满足招标要求的视情况减1-5分。</w:t>
            </w:r>
          </w:p>
        </w:tc>
      </w:tr>
      <w:tr w14:paraId="0D47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825" w:type="dxa"/>
            <w:tcBorders>
              <w:top w:val="single" w:color="auto" w:sz="4" w:space="0"/>
              <w:left w:val="single" w:color="auto" w:sz="4" w:space="0"/>
              <w:bottom w:val="single" w:color="auto" w:sz="4" w:space="0"/>
              <w:right w:val="single" w:color="auto" w:sz="4" w:space="0"/>
            </w:tcBorders>
            <w:vAlign w:val="center"/>
          </w:tcPr>
          <w:p w14:paraId="3FB7476E">
            <w:pPr>
              <w:spacing w:line="420" w:lineRule="exact"/>
              <w:jc w:val="center"/>
              <w:rPr>
                <w:rFonts w:hint="eastAsia" w:ascii="宋体" w:hAnsi="宋体" w:eastAsia="宋体"/>
                <w:szCs w:val="21"/>
                <w:lang w:eastAsia="zh-CN"/>
              </w:rPr>
            </w:pPr>
            <w:r>
              <w:rPr>
                <w:rFonts w:hint="eastAsia" w:ascii="宋体" w:hAnsi="宋体" w:eastAsia="宋体"/>
                <w:lang w:val="en-US" w:eastAsia="zh-CN"/>
              </w:rPr>
              <w:t>8</w:t>
            </w:r>
          </w:p>
        </w:tc>
        <w:tc>
          <w:tcPr>
            <w:tcW w:w="3225" w:type="dxa"/>
            <w:tcBorders>
              <w:top w:val="single" w:color="auto" w:sz="4" w:space="0"/>
              <w:left w:val="single" w:color="auto" w:sz="4" w:space="0"/>
              <w:bottom w:val="single" w:color="auto" w:sz="4" w:space="0"/>
              <w:right w:val="single" w:color="auto" w:sz="4" w:space="0"/>
            </w:tcBorders>
            <w:vAlign w:val="center"/>
          </w:tcPr>
          <w:p w14:paraId="1AA70B84">
            <w:pPr>
              <w:spacing w:line="420" w:lineRule="exact"/>
              <w:rPr>
                <w:rFonts w:hint="default" w:ascii="宋体" w:hAnsi="宋体" w:eastAsia="宋体"/>
                <w:szCs w:val="21"/>
                <w:lang w:val="en-US" w:eastAsia="zh-CN"/>
              </w:rPr>
            </w:pPr>
            <w:r>
              <w:rPr>
                <w:rFonts w:hint="eastAsia" w:ascii="宋体" w:hAnsi="宋体" w:eastAsia="宋体"/>
                <w:lang w:val="en-US" w:eastAsia="zh-CN"/>
              </w:rPr>
              <w:t>项目交期</w:t>
            </w:r>
          </w:p>
        </w:tc>
        <w:tc>
          <w:tcPr>
            <w:tcW w:w="775" w:type="dxa"/>
            <w:tcBorders>
              <w:top w:val="single" w:color="auto" w:sz="4" w:space="0"/>
              <w:left w:val="single" w:color="auto" w:sz="4" w:space="0"/>
              <w:bottom w:val="single" w:color="auto" w:sz="4" w:space="0"/>
              <w:right w:val="single" w:color="auto" w:sz="4" w:space="0"/>
            </w:tcBorders>
            <w:vAlign w:val="center"/>
          </w:tcPr>
          <w:p w14:paraId="7D4A1F06">
            <w:pPr>
              <w:spacing w:line="420" w:lineRule="exact"/>
              <w:jc w:val="center"/>
              <w:rPr>
                <w:rFonts w:hint="default" w:ascii="宋体" w:hAnsi="宋体" w:eastAsia="宋体"/>
                <w:szCs w:val="21"/>
                <w:lang w:val="en-US" w:eastAsia="zh-CN"/>
              </w:rPr>
            </w:pPr>
            <w:r>
              <w:rPr>
                <w:rFonts w:hint="eastAsia" w:ascii="宋体" w:hAnsi="宋体" w:eastAsia="宋体"/>
                <w:lang w:val="en-US" w:eastAsia="zh-CN"/>
              </w:rPr>
              <w:t>10</w:t>
            </w:r>
          </w:p>
        </w:tc>
        <w:tc>
          <w:tcPr>
            <w:tcW w:w="5000" w:type="dxa"/>
            <w:tcBorders>
              <w:top w:val="single" w:color="auto" w:sz="4" w:space="0"/>
              <w:left w:val="single" w:color="auto" w:sz="4" w:space="0"/>
              <w:bottom w:val="single" w:color="auto" w:sz="4" w:space="0"/>
              <w:right w:val="single" w:color="auto" w:sz="4" w:space="0"/>
            </w:tcBorders>
            <w:vAlign w:val="center"/>
          </w:tcPr>
          <w:p w14:paraId="51F3457F">
            <w:pPr>
              <w:tabs>
                <w:tab w:val="left" w:pos="7854"/>
              </w:tabs>
              <w:rPr>
                <w:rFonts w:hint="default" w:ascii="宋体" w:hAnsi="Times New Roman" w:eastAsiaTheme="minorEastAsia"/>
                <w:bCs/>
                <w:szCs w:val="21"/>
                <w:lang w:val="en-US" w:eastAsia="zh-CN"/>
              </w:rPr>
            </w:pPr>
            <w:r>
              <w:rPr>
                <w:rFonts w:hint="eastAsia"/>
                <w:szCs w:val="21"/>
              </w:rPr>
              <w:t>可以提前完成项目交货，视情况得</w:t>
            </w:r>
            <w:r>
              <w:rPr>
                <w:szCs w:val="21"/>
              </w:rPr>
              <w:t>0-</w:t>
            </w:r>
            <w:r>
              <w:rPr>
                <w:rFonts w:hint="eastAsia"/>
                <w:szCs w:val="21"/>
                <w:lang w:val="en-US" w:eastAsia="zh-CN"/>
              </w:rPr>
              <w:t>10分。</w:t>
            </w:r>
          </w:p>
        </w:tc>
      </w:tr>
    </w:tbl>
    <w:p w14:paraId="5F4F326B">
      <w:pPr>
        <w:rPr>
          <w:rFonts w:hint="eastAsia" w:ascii="宋体" w:hAnsi="宋体" w:eastAsia="宋体" w:cs="宋体"/>
          <w:sz w:val="18"/>
          <w:szCs w:val="18"/>
        </w:rPr>
      </w:pPr>
      <w:r>
        <w:rPr>
          <w:rFonts w:hint="eastAsia" w:ascii="宋体" w:hAnsi="宋体" w:eastAsia="宋体" w:cs="宋体"/>
          <w:sz w:val="18"/>
          <w:szCs w:val="18"/>
        </w:rPr>
        <w:br w:type="page"/>
      </w:r>
    </w:p>
    <w:p w14:paraId="0AFDF4CC">
      <w:pPr>
        <w:pStyle w:val="11"/>
        <w:rPr>
          <w:rFonts w:hint="eastAsia"/>
        </w:rPr>
      </w:pPr>
    </w:p>
    <w:tbl>
      <w:tblPr>
        <w:tblStyle w:val="30"/>
        <w:tblW w:w="9825" w:type="dxa"/>
        <w:tblInd w:w="-3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1BF0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89" w:hRule="atLeast"/>
        </w:trPr>
        <w:tc>
          <w:tcPr>
            <w:tcW w:w="825" w:type="dxa"/>
            <w:tcBorders>
              <w:top w:val="single" w:color="auto" w:sz="4" w:space="0"/>
              <w:left w:val="single" w:color="auto" w:sz="4" w:space="0"/>
              <w:bottom w:val="single" w:color="auto" w:sz="4" w:space="0"/>
              <w:right w:val="single" w:color="auto" w:sz="4" w:space="0"/>
            </w:tcBorders>
            <w:vAlign w:val="center"/>
          </w:tcPr>
          <w:p w14:paraId="5257CB1F">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二</w:t>
            </w:r>
          </w:p>
        </w:tc>
        <w:tc>
          <w:tcPr>
            <w:tcW w:w="9000" w:type="dxa"/>
            <w:tcBorders>
              <w:top w:val="single" w:color="auto" w:sz="4" w:space="0"/>
              <w:left w:val="single" w:color="auto" w:sz="4" w:space="0"/>
              <w:bottom w:val="single" w:color="auto" w:sz="4" w:space="0"/>
              <w:right w:val="single" w:color="auto" w:sz="4" w:space="0"/>
            </w:tcBorders>
            <w:vAlign w:val="center"/>
          </w:tcPr>
          <w:p w14:paraId="2080FBE4">
            <w:pPr>
              <w:spacing w:line="420" w:lineRule="exact"/>
              <w:rPr>
                <w:rFonts w:hint="eastAsia" w:ascii="宋体" w:hAnsi="宋体" w:eastAsiaTheme="minorEastAsia"/>
                <w:bCs/>
                <w:lang w:val="en-US" w:eastAsia="zh-CN"/>
              </w:rPr>
            </w:pPr>
            <w:r>
              <w:rPr>
                <w:rFonts w:hint="eastAsia" w:ascii="宋体" w:hAnsi="宋体" w:eastAsia="宋体" w:cs="宋体"/>
                <w:b/>
                <w:sz w:val="28"/>
                <w:szCs w:val="28"/>
                <w:lang w:val="en-US" w:eastAsia="zh-CN"/>
              </w:rPr>
              <w:t>商务标</w:t>
            </w:r>
          </w:p>
        </w:tc>
      </w:tr>
      <w:tr w14:paraId="5B50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14:paraId="46DB2CBD">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1B2722DE">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1、评标基准价为所有合理有效的最终投标报价的最低价。</w:t>
            </w:r>
          </w:p>
          <w:p w14:paraId="1A98FFCA">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分；其他投标人的价格得分按下列公式计算：投标价格得分=</w:t>
            </w:r>
            <w:r>
              <w:rPr>
                <w:rFonts w:hint="eastAsia" w:ascii="宋体" w:hAnsi="宋体" w:eastAsia="宋体" w:cs="Times New Roman"/>
                <w:bCs/>
                <w:sz w:val="24"/>
                <w:szCs w:val="24"/>
                <w:lang w:val="en-US" w:eastAsia="zh-CN"/>
              </w:rPr>
              <w:t>100</w:t>
            </w:r>
            <w:r>
              <w:rPr>
                <w:rFonts w:hint="eastAsia" w:ascii="宋体" w:hAnsi="宋体" w:eastAsia="宋体" w:cs="Times New Roman"/>
                <w:bCs/>
                <w:sz w:val="24"/>
                <w:szCs w:val="24"/>
              </w:rPr>
              <w:t>×（评标基准价/投标报价）。</w:t>
            </w:r>
          </w:p>
          <w:p w14:paraId="39454C6A">
            <w:pPr>
              <w:spacing w:line="420" w:lineRule="exact"/>
              <w:rPr>
                <w:rFonts w:hint="eastAsia"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777E2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825" w:type="dxa"/>
            <w:tcBorders>
              <w:top w:val="single" w:color="auto" w:sz="4" w:space="0"/>
              <w:left w:val="single" w:color="auto" w:sz="4" w:space="0"/>
              <w:bottom w:val="single" w:color="auto" w:sz="4" w:space="0"/>
              <w:right w:val="single" w:color="auto" w:sz="4" w:space="0"/>
            </w:tcBorders>
            <w:vAlign w:val="center"/>
          </w:tcPr>
          <w:p w14:paraId="28BD7683">
            <w:pPr>
              <w:spacing w:line="420" w:lineRule="exact"/>
              <w:jc w:val="center"/>
              <w:rPr>
                <w:rFonts w:hint="eastAsia" w:ascii="宋体" w:hAnsi="宋体" w:eastAsiaTheme="minorEastAsia"/>
                <w:lang w:val="en-US" w:eastAsia="zh-CN"/>
              </w:rPr>
            </w:pPr>
            <w:r>
              <w:rPr>
                <w:rFonts w:hint="eastAsia" w:ascii="宋体" w:hAnsi="宋体" w:eastAsia="宋体" w:cs="宋体"/>
                <w:b/>
                <w:sz w:val="28"/>
                <w:szCs w:val="28"/>
                <w:lang w:val="en-US" w:eastAsia="zh-CN"/>
              </w:rPr>
              <w:t>三</w:t>
            </w:r>
          </w:p>
        </w:tc>
        <w:tc>
          <w:tcPr>
            <w:tcW w:w="9000" w:type="dxa"/>
            <w:tcBorders>
              <w:top w:val="single" w:color="auto" w:sz="4" w:space="0"/>
              <w:left w:val="single" w:color="auto" w:sz="4" w:space="0"/>
              <w:bottom w:val="single" w:color="auto" w:sz="4" w:space="0"/>
              <w:right w:val="single" w:color="auto" w:sz="4" w:space="0"/>
            </w:tcBorders>
            <w:vAlign w:val="center"/>
          </w:tcPr>
          <w:p w14:paraId="164F53B3">
            <w:pPr>
              <w:spacing w:line="420" w:lineRule="exact"/>
              <w:rPr>
                <w:rFonts w:hint="eastAsia" w:ascii="宋体" w:hAnsi="宋体"/>
                <w:bCs/>
                <w:lang w:val="en-US" w:eastAsia="zh-CN"/>
              </w:rPr>
            </w:pPr>
            <w:r>
              <w:rPr>
                <w:rFonts w:hint="eastAsia" w:ascii="宋体" w:hAnsi="宋体" w:eastAsia="宋体" w:cs="宋体"/>
                <w:b/>
                <w:sz w:val="28"/>
                <w:szCs w:val="28"/>
                <w:lang w:val="en-US" w:eastAsia="zh-CN"/>
              </w:rPr>
              <w:t>综合得分</w:t>
            </w:r>
          </w:p>
        </w:tc>
      </w:tr>
      <w:tr w14:paraId="7D58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trPr>
        <w:tc>
          <w:tcPr>
            <w:tcW w:w="9825" w:type="dxa"/>
            <w:gridSpan w:val="2"/>
            <w:tcBorders>
              <w:top w:val="single" w:color="auto" w:sz="4" w:space="0"/>
              <w:left w:val="single" w:color="auto" w:sz="4" w:space="0"/>
              <w:bottom w:val="single" w:color="auto" w:sz="4" w:space="0"/>
              <w:right w:val="single" w:color="auto" w:sz="4" w:space="0"/>
            </w:tcBorders>
            <w:vAlign w:val="center"/>
          </w:tcPr>
          <w:p w14:paraId="5A0951B2">
            <w:pPr>
              <w:spacing w:line="420" w:lineRule="exact"/>
              <w:rPr>
                <w:rFonts w:hint="eastAsia" w:ascii="宋体" w:hAnsi="宋体"/>
                <w:bCs/>
              </w:rPr>
            </w:pPr>
            <w:r>
              <w:rPr>
                <w:rFonts w:hint="eastAsia" w:ascii="宋体" w:hAnsi="Times New Roman" w:eastAsia="宋体" w:cs="Times New Roman"/>
                <w:b/>
                <w:bCs w:val="0"/>
                <w:sz w:val="24"/>
                <w:szCs w:val="24"/>
                <w:lang w:val="en-US" w:eastAsia="zh-CN"/>
              </w:rPr>
              <w:t>综合得分=技术分×30%＋商务标得分×70%</w:t>
            </w:r>
          </w:p>
        </w:tc>
      </w:tr>
    </w:tbl>
    <w:p w14:paraId="2D3992A4"/>
    <w:p w14:paraId="3463285D">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5"/>
      <w:bookmarkStart w:id="12" w:name="OLE_LINK29"/>
      <w:bookmarkStart w:id="13" w:name="OLE_LINK28"/>
      <w:bookmarkStart w:id="14" w:name="OLE_LINK26"/>
      <w:bookmarkStart w:id="15" w:name="OLE_LINK27"/>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04EFBDAE">
      <w:pPr>
        <w:pStyle w:val="29"/>
        <w:spacing w:after="0" w:line="240" w:lineRule="auto"/>
        <w:ind w:firstLine="482"/>
        <w:rPr>
          <w:rFonts w:ascii="宋体" w:hAnsi="宋体" w:cs="宋体"/>
          <w:b/>
          <w:bCs/>
          <w:sz w:val="24"/>
          <w:szCs w:val="24"/>
        </w:rPr>
      </w:pPr>
      <w:r>
        <w:rPr>
          <w:rFonts w:hint="eastAsia" w:ascii="宋体" w:hAnsi="宋体" w:cs="宋体"/>
          <w:b/>
          <w:bCs/>
          <w:sz w:val="24"/>
          <w:szCs w:val="24"/>
          <w:u w:val="single"/>
          <w:lang w:val="en-US" w:eastAsia="zh-CN"/>
        </w:rPr>
        <w:t>一、</w:t>
      </w:r>
      <w:r>
        <w:rPr>
          <w:rFonts w:hint="eastAsia" w:ascii="宋体" w:hAnsi="宋体" w:cs="宋体"/>
          <w:b/>
          <w:bCs/>
          <w:sz w:val="24"/>
          <w:szCs w:val="24"/>
          <w:u w:val="single"/>
        </w:rPr>
        <w:t>付款方式：半年期商业汇票（包括银行承兑汇票和商业承兑汇票）</w:t>
      </w:r>
    </w:p>
    <w:p w14:paraId="47F10C3E">
      <w:pPr>
        <w:ind w:firstLine="480" w:firstLineChars="200"/>
        <w:rPr>
          <w:rFonts w:ascii="宋体" w:hAnsi="宋体" w:eastAsia="宋体" w:cs="宋体"/>
          <w:sz w:val="24"/>
          <w:szCs w:val="24"/>
        </w:rPr>
      </w:pPr>
      <w:r>
        <w:rPr>
          <w:rFonts w:ascii="宋体" w:hAnsi="宋体" w:eastAsia="宋体" w:cs="宋体"/>
          <w:sz w:val="24"/>
          <w:szCs w:val="24"/>
        </w:rPr>
        <w:t>1.合同生效设备全部到齐无质量问题通过买方初步验收并到货后，卖方开具金额为该合同设备价格30%的增值税专用发票带30%的收据（含复印件二份），经买方依照财务制度审核无误后支付合同价款的30%。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2.设备全部到齐，经现场安装、调试、验收合格交付使用后，卖方提交金额为合同价款60%的收据并附带下列单据，经买方依照财务制度审核无误后支付合同价款的60%。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a.金额为该合同设备价格70%的增值税专用发票（含复印件二份），具体开票信息详见发票信息表，根据表中所列分别开具增值税发票。</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b.该套设备最终验收报告的原件及其复印件两份。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58ECE40F">
      <w:pPr>
        <w:pStyle w:val="29"/>
        <w:spacing w:after="0" w:line="240" w:lineRule="auto"/>
        <w:ind w:firstLine="482"/>
        <w:rPr>
          <w:rFonts w:hint="eastAsia" w:ascii="宋体" w:hAnsi="宋体" w:cs="宋体"/>
          <w:b/>
          <w:bCs/>
          <w:sz w:val="24"/>
          <w:szCs w:val="24"/>
          <w:u w:val="single"/>
          <w:lang w:val="en-US" w:eastAsia="zh-CN"/>
        </w:rPr>
      </w:pPr>
      <w:r>
        <w:rPr>
          <w:rFonts w:hint="eastAsia" w:ascii="宋体" w:hAnsi="宋体" w:cs="宋体"/>
          <w:b/>
          <w:bCs/>
          <w:sz w:val="24"/>
          <w:szCs w:val="24"/>
          <w:u w:val="single"/>
          <w:lang w:val="en-US" w:eastAsia="zh-CN"/>
        </w:rPr>
        <w:t>二、交货时间：</w:t>
      </w:r>
    </w:p>
    <w:p w14:paraId="4FB4CEC1">
      <w:pPr>
        <w:rPr>
          <w:rFonts w:hint="eastAsia" w:ascii="宋体" w:hAnsi="宋体" w:eastAsia="宋体" w:cs="宋体"/>
          <w:sz w:val="24"/>
          <w:szCs w:val="24"/>
        </w:rPr>
      </w:pPr>
      <w:r>
        <w:rPr>
          <w:rFonts w:hint="eastAsia" w:ascii="宋体" w:hAnsi="宋体" w:eastAsia="宋体" w:cs="宋体"/>
          <w:sz w:val="24"/>
          <w:szCs w:val="24"/>
        </w:rPr>
        <w:t xml:space="preserve">1 </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 投标方应自</w:t>
      </w:r>
      <w:r>
        <w:rPr>
          <w:rFonts w:hint="eastAsia" w:ascii="宋体" w:hAnsi="宋体" w:eastAsia="宋体" w:cs="宋体"/>
          <w:sz w:val="24"/>
          <w:szCs w:val="24"/>
          <w:lang w:val="en-US" w:eastAsia="zh-CN"/>
        </w:rPr>
        <w:t>合同签定</w:t>
      </w:r>
      <w:r>
        <w:rPr>
          <w:rFonts w:hint="eastAsia" w:ascii="宋体" w:hAnsi="宋体" w:eastAsia="宋体" w:cs="宋体"/>
          <w:sz w:val="24"/>
          <w:szCs w:val="24"/>
        </w:rPr>
        <w:t>之日起，</w:t>
      </w:r>
      <w:r>
        <w:rPr>
          <w:rFonts w:hint="eastAsia" w:ascii="宋体" w:hAnsi="宋体" w:eastAsia="宋体" w:cs="宋体"/>
          <w:sz w:val="24"/>
          <w:szCs w:val="24"/>
          <w:lang w:val="en-US" w:eastAsia="zh-CN"/>
        </w:rPr>
        <w:t>20</w:t>
      </w:r>
      <w:r>
        <w:rPr>
          <w:rFonts w:hint="eastAsia" w:ascii="宋体" w:hAnsi="宋体" w:eastAsia="宋体" w:cs="宋体"/>
          <w:sz w:val="24"/>
          <w:szCs w:val="24"/>
        </w:rPr>
        <w:t>个日历日之内交货至供货地点</w:t>
      </w:r>
    </w:p>
    <w:p w14:paraId="6E5A9265">
      <w:pPr>
        <w:rPr>
          <w:rFonts w:hint="eastAsia" w:ascii="宋体" w:hAnsi="宋体" w:eastAsia="宋体" w:cs="宋体"/>
          <w:sz w:val="24"/>
          <w:szCs w:val="24"/>
        </w:rPr>
      </w:pPr>
      <w:r>
        <w:rPr>
          <w:rFonts w:hint="eastAsia" w:ascii="宋体" w:hAnsi="宋体" w:eastAsia="宋体" w:cs="宋体"/>
          <w:sz w:val="24"/>
          <w:szCs w:val="24"/>
        </w:rPr>
        <w:t xml:space="preserve">2.  接续  </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个日历日之内安装调试完毕；</w:t>
      </w:r>
    </w:p>
    <w:p w14:paraId="62B087D5">
      <w:pPr>
        <w:pStyle w:val="29"/>
        <w:spacing w:after="0" w:line="240" w:lineRule="auto"/>
        <w:ind w:firstLine="482"/>
        <w:rPr>
          <w:rFonts w:hint="eastAsia" w:ascii="宋体" w:hAnsi="宋体" w:cs="宋体"/>
          <w:b/>
          <w:bCs/>
          <w:sz w:val="24"/>
          <w:szCs w:val="24"/>
          <w:u w:val="single"/>
          <w:lang w:val="en-US" w:eastAsia="zh-CN"/>
        </w:rPr>
      </w:pPr>
      <w:r>
        <w:rPr>
          <w:rFonts w:hint="eastAsia" w:ascii="宋体" w:hAnsi="宋体" w:cs="宋体"/>
          <w:b/>
          <w:bCs/>
          <w:sz w:val="24"/>
          <w:szCs w:val="24"/>
          <w:u w:val="single"/>
          <w:lang w:val="en-US" w:eastAsia="zh-CN"/>
        </w:rPr>
        <w:t>三、质保期：</w:t>
      </w:r>
    </w:p>
    <w:p w14:paraId="32606D59">
      <w:pPr>
        <w:rPr>
          <w:rFonts w:hint="eastAsia" w:ascii="宋体" w:hAnsi="宋体" w:eastAsia="宋体" w:cs="宋体"/>
          <w:sz w:val="21"/>
          <w:szCs w:val="21"/>
          <w:highlight w:val="none"/>
        </w:rPr>
      </w:pPr>
      <w:r>
        <w:rPr>
          <w:rFonts w:hint="eastAsia" w:ascii="宋体" w:hAnsi="宋体" w:eastAsia="宋体" w:cs="宋体"/>
          <w:sz w:val="24"/>
          <w:szCs w:val="24"/>
        </w:rPr>
        <w:t>自终验收签字生效之日起  12 个月。</w:t>
      </w: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 xml:space="preserve">         </w:t>
      </w:r>
      <w:r>
        <w:rPr>
          <w:rFonts w:hint="eastAsia"/>
          <w:lang w:val="en-US" w:eastAsia="zh-CN"/>
        </w:rPr>
        <w:t>有限公司。</w:t>
      </w:r>
    </w:p>
    <w:p w14:paraId="66BCACD8">
      <w:pPr>
        <w:pStyle w:val="76"/>
      </w:pPr>
    </w:p>
    <w:p w14:paraId="07A4B493">
      <w:pPr>
        <w:pStyle w:val="71"/>
        <w:jc w:val="both"/>
        <w:rPr>
          <w:rFonts w:hint="eastAsia"/>
        </w:rPr>
      </w:pPr>
      <w:bookmarkStart w:id="16" w:name="_Toc47976607"/>
    </w:p>
    <w:p w14:paraId="243FF35F">
      <w:pPr>
        <w:pStyle w:val="71"/>
        <w:jc w:val="both"/>
        <w:rPr>
          <w:rFonts w:hint="eastAsia"/>
        </w:rPr>
      </w:pPr>
    </w:p>
    <w:p w14:paraId="4C7EDAE0">
      <w:pPr>
        <w:rPr>
          <w:rFonts w:hint="eastAsia"/>
        </w:rPr>
      </w:pPr>
      <w:bookmarkStart w:id="17" w:name="_Toc1910"/>
      <w:r>
        <w:rPr>
          <w:rFonts w:hint="eastAsia"/>
        </w:rPr>
        <w:br w:type="page"/>
      </w:r>
    </w:p>
    <w:p w14:paraId="1FB6CA61">
      <w:pPr>
        <w:pStyle w:val="71"/>
        <w:jc w:val="center"/>
        <w:rPr>
          <w:rFonts w:hint="default" w:eastAsia="黑体"/>
          <w:lang w:val="en-US" w:eastAsia="zh-CN"/>
        </w:rPr>
      </w:pPr>
      <w:r>
        <w:rPr>
          <w:rFonts w:hint="eastAsia"/>
        </w:rPr>
        <w:t>第二部分　</w:t>
      </w:r>
      <w:bookmarkEnd w:id="16"/>
      <w:r>
        <w:rPr>
          <w:rFonts w:hint="eastAsia"/>
          <w:lang w:val="en-US" w:eastAsia="zh-CN"/>
        </w:rPr>
        <w:t>技术标书</w:t>
      </w:r>
      <w:bookmarkEnd w:id="17"/>
    </w:p>
    <w:p w14:paraId="2492E155">
      <w:pPr>
        <w:spacing w:line="480" w:lineRule="exact"/>
        <w:ind w:firstLine="377" w:firstLineChars="118"/>
        <w:rPr>
          <w:rFonts w:ascii="仿宋" w:hAnsi="仿宋" w:eastAsia="仿宋" w:cs="仿宋"/>
          <w:color w:val="000000" w:themeColor="text1"/>
          <w:sz w:val="32"/>
          <w:szCs w:val="32"/>
          <w14:textFill>
            <w14:solidFill>
              <w14:schemeClr w14:val="tx1"/>
            </w14:solidFill>
          </w14:textFill>
        </w:rPr>
      </w:pPr>
    </w:p>
    <w:p w14:paraId="354FCC6E">
      <w:pPr>
        <w:keepNext w:val="0"/>
        <w:keepLines w:val="0"/>
        <w:pageBreakBefore w:val="0"/>
        <w:widowControl w:val="0"/>
        <w:kinsoku/>
        <w:wordWrap/>
        <w:overflowPunct/>
        <w:topLinePunct w:val="0"/>
        <w:autoSpaceDE/>
        <w:autoSpaceDN/>
        <w:bidi w:val="0"/>
        <w:adjustRightInd/>
        <w:snapToGrid/>
        <w:spacing w:line="360" w:lineRule="auto"/>
        <w:ind w:firstLine="377" w:firstLineChars="118"/>
        <w:textAlignment w:val="auto"/>
        <w:rPr>
          <w:rFonts w:hint="eastAsia" w:ascii="仿宋" w:hAnsi="仿宋" w:eastAsia="仿宋" w:cs="仿宋"/>
          <w:color w:val="000000" w:themeColor="text1"/>
          <w:sz w:val="32"/>
          <w:szCs w:val="32"/>
          <w:u w:val="single"/>
          <w:lang w:val="en-US" w:eastAsia="zh-CN"/>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项目名称：</w:t>
      </w:r>
      <w:r>
        <w:rPr>
          <w:rFonts w:hint="eastAsia" w:ascii="仿宋" w:hAnsi="仿宋" w:eastAsia="仿宋" w:cs="仿宋"/>
          <w:color w:val="000000" w:themeColor="text1"/>
          <w:sz w:val="32"/>
          <w:szCs w:val="32"/>
          <w:u w:val="single"/>
          <w:lang w:val="en-US" w:eastAsia="zh-CN"/>
          <w14:textFill>
            <w14:solidFill>
              <w14:schemeClr w14:val="tx1"/>
            </w14:solidFill>
          </w14:textFill>
        </w:rPr>
        <w:t xml:space="preserve">济南车桥公司产能提升配套柔性吊项目  </w:t>
      </w:r>
    </w:p>
    <w:p w14:paraId="0947D471">
      <w:pPr>
        <w:spacing w:line="480" w:lineRule="exact"/>
        <w:ind w:firstLine="377" w:firstLineChars="118"/>
        <w:rPr>
          <w:rFonts w:ascii="仿宋" w:hAnsi="仿宋" w:eastAsia="仿宋" w:cs="仿宋"/>
          <w:color w:val="000000" w:themeColor="text1"/>
          <w:sz w:val="32"/>
          <w:szCs w:val="32"/>
          <w14:textFill>
            <w14:solidFill>
              <w14:schemeClr w14:val="tx1"/>
            </w14:solidFill>
          </w14:textFill>
        </w:rPr>
      </w:pPr>
    </w:p>
    <w:p w14:paraId="4525D076">
      <w:pPr>
        <w:spacing w:line="480" w:lineRule="exact"/>
        <w:ind w:firstLine="377" w:firstLineChars="118"/>
        <w:rPr>
          <w:rFonts w:ascii="仿宋" w:hAnsi="仿宋" w:eastAsia="仿宋" w:cs="仿宋"/>
          <w:color w:val="000000" w:themeColor="text1"/>
          <w:sz w:val="32"/>
          <w:szCs w:val="32"/>
          <w14:textFill>
            <w14:solidFill>
              <w14:schemeClr w14:val="tx1"/>
            </w14:solidFill>
          </w14:textFill>
        </w:rPr>
      </w:pPr>
    </w:p>
    <w:p w14:paraId="288DABBF">
      <w:pPr>
        <w:spacing w:line="480" w:lineRule="exact"/>
        <w:ind w:firstLine="377" w:firstLineChars="118"/>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货物名称：</w:t>
      </w:r>
      <w:r>
        <w:rPr>
          <w:rFonts w:hint="eastAsia" w:ascii="仿宋" w:hAnsi="仿宋" w:eastAsia="仿宋" w:cs="仿宋"/>
          <w:color w:val="000000" w:themeColor="text1"/>
          <w:sz w:val="32"/>
          <w:szCs w:val="32"/>
          <w:u w:val="single"/>
          <w14:textFill>
            <w14:solidFill>
              <w14:schemeClr w14:val="tx1"/>
            </w14:solidFill>
          </w14:textFill>
        </w:rPr>
        <w:t>柔性吊</w:t>
      </w:r>
    </w:p>
    <w:p w14:paraId="6F27DA23">
      <w:pPr>
        <w:spacing w:line="480" w:lineRule="exact"/>
        <w:ind w:firstLine="377" w:firstLineChars="118"/>
        <w:rPr>
          <w:rFonts w:ascii="仿宋" w:hAnsi="仿宋" w:eastAsia="仿宋" w:cs="仿宋"/>
          <w:color w:val="000000" w:themeColor="text1"/>
          <w:sz w:val="32"/>
          <w:szCs w:val="32"/>
          <w:u w:val="single"/>
          <w14:textFill>
            <w14:solidFill>
              <w14:schemeClr w14:val="tx1"/>
            </w14:solidFill>
          </w14:textFill>
        </w:rPr>
      </w:pPr>
    </w:p>
    <w:p w14:paraId="5FCA4793">
      <w:pPr>
        <w:spacing w:line="480" w:lineRule="exact"/>
        <w:ind w:firstLine="377" w:firstLineChars="118"/>
        <w:rPr>
          <w:rFonts w:ascii="仿宋" w:hAnsi="仿宋" w:eastAsia="仿宋" w:cs="仿宋"/>
          <w:color w:val="000000" w:themeColor="text1"/>
          <w:sz w:val="32"/>
          <w:szCs w:val="32"/>
          <w:u w:val="single"/>
          <w14:textFill>
            <w14:solidFill>
              <w14:schemeClr w14:val="tx1"/>
            </w14:solidFill>
          </w14:textFill>
        </w:rPr>
      </w:pPr>
    </w:p>
    <w:p w14:paraId="290847E2">
      <w:pPr>
        <w:spacing w:line="480" w:lineRule="exact"/>
        <w:ind w:firstLine="377" w:firstLineChars="118"/>
        <w:rPr>
          <w:rFonts w:ascii="仿宋" w:hAnsi="仿宋" w:eastAsia="仿宋" w:cs="仿宋"/>
          <w:color w:val="000000" w:themeColor="text1"/>
          <w:sz w:val="32"/>
          <w:szCs w:val="32"/>
          <w:u w:val="single"/>
          <w14:textFill>
            <w14:solidFill>
              <w14:schemeClr w14:val="tx1"/>
            </w14:solidFill>
          </w14:textFill>
        </w:rPr>
      </w:pPr>
    </w:p>
    <w:p w14:paraId="6B8E65E0">
      <w:pPr>
        <w:spacing w:line="480" w:lineRule="exact"/>
        <w:ind w:firstLine="377" w:firstLineChars="118"/>
        <w:rPr>
          <w:rFonts w:ascii="仿宋" w:hAnsi="仿宋" w:eastAsia="仿宋" w:cs="仿宋"/>
          <w:color w:val="000000" w:themeColor="text1"/>
          <w:sz w:val="32"/>
          <w:szCs w:val="32"/>
          <w:u w:val="single"/>
          <w14:textFill>
            <w14:solidFill>
              <w14:schemeClr w14:val="tx1"/>
            </w14:solidFill>
          </w14:textFill>
        </w:rPr>
      </w:pPr>
    </w:p>
    <w:p w14:paraId="581DBC76">
      <w:pPr>
        <w:spacing w:line="480" w:lineRule="exact"/>
        <w:ind w:firstLine="377" w:firstLineChars="118"/>
        <w:rPr>
          <w:rFonts w:ascii="仿宋" w:hAnsi="仿宋" w:eastAsia="仿宋" w:cs="仿宋"/>
          <w:color w:val="000000" w:themeColor="text1"/>
          <w:sz w:val="32"/>
          <w:szCs w:val="32"/>
          <w:u w:val="single"/>
          <w14:textFill>
            <w14:solidFill>
              <w14:schemeClr w14:val="tx1"/>
            </w14:solidFill>
          </w14:textFill>
        </w:rPr>
      </w:pPr>
    </w:p>
    <w:p w14:paraId="16C5913B">
      <w:pPr>
        <w:spacing w:line="480" w:lineRule="exact"/>
        <w:ind w:firstLine="377" w:firstLineChars="118"/>
        <w:rPr>
          <w:rFonts w:hint="eastAsia" w:ascii="仿宋" w:hAnsi="仿宋" w:eastAsia="仿宋" w:cs="仿宋"/>
          <w:color w:val="000000" w:themeColor="text1"/>
          <w:sz w:val="32"/>
          <w:szCs w:val="32"/>
          <w:u w:val="single"/>
          <w:lang w:eastAsia="zh-CN"/>
          <w14:textFill>
            <w14:solidFill>
              <w14:schemeClr w14:val="tx1"/>
            </w14:solidFill>
          </w14:textFill>
        </w:rPr>
      </w:pPr>
    </w:p>
    <w:p w14:paraId="319AAAE7">
      <w:pPr>
        <w:pStyle w:val="11"/>
        <w:rPr>
          <w:rFonts w:hint="eastAsia" w:ascii="仿宋" w:hAnsi="仿宋" w:eastAsia="仿宋" w:cs="仿宋"/>
          <w:color w:val="000000" w:themeColor="text1"/>
          <w:sz w:val="32"/>
          <w:szCs w:val="32"/>
          <w:u w:val="single"/>
          <w:lang w:eastAsia="zh-CN"/>
          <w14:textFill>
            <w14:solidFill>
              <w14:schemeClr w14:val="tx1"/>
            </w14:solidFill>
          </w14:textFill>
        </w:rPr>
      </w:pPr>
    </w:p>
    <w:p w14:paraId="49CD6AD6">
      <w:pPr>
        <w:pStyle w:val="11"/>
        <w:rPr>
          <w:rFonts w:hint="eastAsia" w:ascii="仿宋" w:hAnsi="仿宋" w:eastAsia="仿宋" w:cs="仿宋"/>
          <w:color w:val="000000" w:themeColor="text1"/>
          <w:sz w:val="32"/>
          <w:szCs w:val="32"/>
          <w:u w:val="single"/>
          <w:lang w:eastAsia="zh-CN"/>
          <w14:textFill>
            <w14:solidFill>
              <w14:schemeClr w14:val="tx1"/>
            </w14:solidFill>
          </w14:textFill>
        </w:rPr>
      </w:pPr>
    </w:p>
    <w:p w14:paraId="2AE5EBC0">
      <w:pPr>
        <w:spacing w:line="480" w:lineRule="exact"/>
        <w:ind w:firstLine="377" w:firstLineChars="118"/>
        <w:rPr>
          <w:rFonts w:ascii="仿宋" w:hAnsi="仿宋" w:eastAsia="仿宋" w:cs="仿宋"/>
          <w:color w:val="000000" w:themeColor="text1"/>
          <w:sz w:val="32"/>
          <w:szCs w:val="32"/>
          <w:u w:val="single"/>
          <w14:textFill>
            <w14:solidFill>
              <w14:schemeClr w14:val="tx1"/>
            </w14:solidFill>
          </w14:textFill>
        </w:rPr>
      </w:pPr>
    </w:p>
    <w:p w14:paraId="71B5C9EB">
      <w:pPr>
        <w:tabs>
          <w:tab w:val="left" w:pos="3675"/>
        </w:tabs>
        <w:spacing w:line="480" w:lineRule="exact"/>
        <w:ind w:firstLine="377" w:firstLineChars="118"/>
        <w:rPr>
          <w:rFonts w:ascii="仿宋" w:hAnsi="仿宋" w:eastAsia="仿宋" w:cs="仿宋"/>
          <w:color w:val="000000" w:themeColor="text1"/>
          <w:sz w:val="32"/>
          <w:szCs w:val="32"/>
          <w:u w:val="single"/>
          <w14:textFill>
            <w14:solidFill>
              <w14:schemeClr w14:val="tx1"/>
            </w14:solidFill>
          </w14:textFill>
        </w:rPr>
      </w:pPr>
    </w:p>
    <w:p w14:paraId="52918AD7">
      <w:pPr>
        <w:tabs>
          <w:tab w:val="left" w:pos="3675"/>
        </w:tabs>
        <w:spacing w:line="480" w:lineRule="exact"/>
        <w:ind w:firstLine="377" w:firstLineChars="118"/>
        <w:rPr>
          <w:rFonts w:ascii="仿宋" w:hAnsi="仿宋" w:eastAsia="仿宋" w:cs="仿宋"/>
          <w:color w:val="000000" w:themeColor="text1"/>
          <w:sz w:val="32"/>
          <w:szCs w:val="32"/>
          <w14:textFill>
            <w14:solidFill>
              <w14:schemeClr w14:val="tx1"/>
            </w14:solidFill>
          </w14:textFill>
        </w:rPr>
      </w:pPr>
    </w:p>
    <w:p w14:paraId="208DC7E0">
      <w:pPr>
        <w:spacing w:line="480" w:lineRule="exact"/>
        <w:ind w:firstLine="377" w:firstLineChars="118"/>
        <w:rPr>
          <w:rFonts w:ascii="仿宋" w:hAnsi="仿宋" w:eastAsia="仿宋" w:cs="仿宋"/>
          <w:color w:val="000000" w:themeColor="text1"/>
          <w:sz w:val="32"/>
          <w:szCs w:val="32"/>
          <w14:textFill>
            <w14:solidFill>
              <w14:schemeClr w14:val="tx1"/>
            </w14:solidFill>
          </w14:textFill>
        </w:rPr>
      </w:pPr>
    </w:p>
    <w:p w14:paraId="09FCE4EA">
      <w:pPr>
        <w:spacing w:line="480" w:lineRule="exact"/>
        <w:ind w:firstLine="377" w:firstLineChars="118"/>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项目单位技术负责人签名：</w:t>
      </w:r>
    </w:p>
    <w:p w14:paraId="5CCE1EC1">
      <w:pPr>
        <w:spacing w:line="480" w:lineRule="exact"/>
        <w:ind w:firstLine="377" w:firstLineChars="118"/>
        <w:jc w:val="center"/>
        <w:rPr>
          <w:rFonts w:ascii="仿宋" w:hAnsi="仿宋" w:eastAsia="仿宋" w:cs="仿宋"/>
          <w:color w:val="000000" w:themeColor="text1"/>
          <w:sz w:val="32"/>
          <w:szCs w:val="32"/>
          <w14:textFill>
            <w14:solidFill>
              <w14:schemeClr w14:val="tx1"/>
            </w14:solidFill>
          </w14:textFill>
        </w:rPr>
      </w:pPr>
    </w:p>
    <w:p w14:paraId="3EB3A6EF">
      <w:pPr>
        <w:spacing w:line="480" w:lineRule="exact"/>
        <w:ind w:firstLine="377" w:firstLineChars="118"/>
        <w:jc w:val="center"/>
        <w:rPr>
          <w:rFonts w:ascii="仿宋" w:hAnsi="仿宋" w:eastAsia="仿宋" w:cs="仿宋"/>
          <w:color w:val="000000" w:themeColor="text1"/>
          <w:sz w:val="32"/>
          <w:szCs w:val="32"/>
          <w14:textFill>
            <w14:solidFill>
              <w14:schemeClr w14:val="tx1"/>
            </w14:solidFill>
          </w14:textFill>
        </w:rPr>
      </w:pPr>
    </w:p>
    <w:p w14:paraId="557D05C7">
      <w:pPr>
        <w:spacing w:line="480" w:lineRule="exact"/>
        <w:ind w:firstLine="377" w:firstLineChars="118"/>
        <w:jc w:val="cente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时间： </w:t>
      </w:r>
      <w:r>
        <w:rPr>
          <w:rFonts w:hint="eastAsia" w:ascii="仿宋" w:hAnsi="仿宋" w:eastAsia="仿宋" w:cs="仿宋"/>
          <w:color w:val="000000" w:themeColor="text1"/>
          <w:sz w:val="32"/>
          <w:szCs w:val="32"/>
          <w:lang w:val="en-US" w:eastAsia="zh-CN"/>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年</w:t>
      </w:r>
      <w:r>
        <w:rPr>
          <w:rFonts w:hint="eastAsia" w:ascii="仿宋" w:hAnsi="仿宋" w:eastAsia="仿宋" w:cs="仿宋"/>
          <w:color w:val="000000" w:themeColor="text1"/>
          <w:sz w:val="32"/>
          <w:szCs w:val="32"/>
          <w:lang w:val="en-US" w:eastAsia="zh-CN"/>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月</w:t>
      </w:r>
      <w:r>
        <w:rPr>
          <w:rFonts w:hint="eastAsia" w:ascii="仿宋" w:hAnsi="仿宋" w:eastAsia="仿宋" w:cs="仿宋"/>
          <w:color w:val="000000" w:themeColor="text1"/>
          <w:sz w:val="32"/>
          <w:szCs w:val="32"/>
          <w:lang w:val="en-US" w:eastAsia="zh-CN"/>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日</w:t>
      </w:r>
    </w:p>
    <w:p w14:paraId="7804F2C5">
      <w:pPr>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br w:type="page"/>
      </w:r>
    </w:p>
    <w:p w14:paraId="0F49CA8D">
      <w:pPr>
        <w:pStyle w:val="11"/>
      </w:pPr>
    </w:p>
    <w:p w14:paraId="0884A51F">
      <w:pPr>
        <w:spacing w:line="480" w:lineRule="exact"/>
        <w:ind w:firstLine="377" w:firstLineChars="118"/>
        <w:jc w:val="center"/>
        <w:rPr>
          <w:rFonts w:ascii="仿宋" w:hAnsi="仿宋" w:eastAsia="仿宋" w:cs="仿宋"/>
          <w:color w:val="000000" w:themeColor="text1"/>
          <w:sz w:val="32"/>
          <w:szCs w:val="32"/>
          <w14:textFill>
            <w14:solidFill>
              <w14:schemeClr w14:val="tx1"/>
            </w14:solidFill>
          </w14:textFill>
        </w:rPr>
      </w:pPr>
    </w:p>
    <w:p w14:paraId="6AE945C9">
      <w:pPr>
        <w:spacing w:line="480" w:lineRule="exact"/>
        <w:ind w:firstLine="377" w:firstLineChars="118"/>
        <w:jc w:val="center"/>
        <w:rPr>
          <w:rFonts w:ascii="仿宋" w:hAnsi="仿宋" w:eastAsia="仿宋" w:cs="仿宋"/>
          <w:color w:val="000000" w:themeColor="text1"/>
          <w:sz w:val="32"/>
          <w:szCs w:val="32"/>
          <w14:textFill>
            <w14:solidFill>
              <w14:schemeClr w14:val="tx1"/>
            </w14:solidFill>
          </w14:textFill>
        </w:rPr>
      </w:pPr>
    </w:p>
    <w:p w14:paraId="0A8BAC15">
      <w:pPr>
        <w:pStyle w:val="68"/>
        <w:spacing w:line="360" w:lineRule="auto"/>
        <w:jc w:val="center"/>
        <w:rPr>
          <w:rFonts w:ascii="仿宋" w:hAnsi="仿宋" w:eastAsia="仿宋"/>
          <w:b/>
          <w:bCs/>
          <w:color w:val="000000" w:themeColor="text1"/>
          <w:sz w:val="24"/>
          <w:szCs w:val="24"/>
          <w14:textFill>
            <w14:solidFill>
              <w14:schemeClr w14:val="tx1"/>
            </w14:solidFill>
          </w14:textFill>
        </w:rPr>
      </w:pPr>
      <w:bookmarkStart w:id="18" w:name="_Toc133783966"/>
      <w:bookmarkStart w:id="19" w:name="_Toc7511"/>
      <w:bookmarkStart w:id="20" w:name="_Toc11355"/>
      <w:bookmarkStart w:id="21" w:name="_Toc23870"/>
      <w:bookmarkStart w:id="22" w:name="_Toc8032"/>
      <w:bookmarkStart w:id="23" w:name="_Toc1884"/>
      <w:bookmarkStart w:id="24" w:name="_Toc18606"/>
      <w:bookmarkStart w:id="25" w:name="_Toc3565"/>
      <w:bookmarkStart w:id="26" w:name="_Toc4532"/>
      <w:bookmarkStart w:id="27" w:name="_Toc12714"/>
      <w:bookmarkStart w:id="28" w:name="_Toc20467"/>
      <w:bookmarkStart w:id="29" w:name="_Toc13555"/>
      <w:bookmarkStart w:id="30" w:name="_Toc18805"/>
      <w:bookmarkStart w:id="31" w:name="_Toc4483"/>
      <w:bookmarkStart w:id="32" w:name="_Toc16358"/>
      <w:bookmarkStart w:id="33" w:name="_Toc30738"/>
      <w:bookmarkStart w:id="34" w:name="_Toc6346"/>
      <w:bookmarkStart w:id="35" w:name="_Toc12552"/>
      <w:bookmarkStart w:id="36" w:name="_Toc24913"/>
      <w:bookmarkStart w:id="37" w:name="_Toc14517"/>
      <w:bookmarkStart w:id="38" w:name="_Toc19672"/>
      <w:bookmarkStart w:id="39" w:name="_Toc22649"/>
      <w:bookmarkStart w:id="40" w:name="_Toc4194"/>
      <w:bookmarkStart w:id="41" w:name="_Toc12563"/>
      <w:bookmarkStart w:id="42" w:name="_Toc3372"/>
      <w:bookmarkStart w:id="43" w:name="_Toc13988"/>
      <w:bookmarkStart w:id="44" w:name="_Toc24964"/>
      <w:bookmarkStart w:id="45" w:name="_Toc13562"/>
      <w:bookmarkStart w:id="46" w:name="_Toc18182"/>
      <w:bookmarkStart w:id="47" w:name="_Toc13605"/>
      <w:bookmarkStart w:id="48" w:name="_Toc28236"/>
      <w:bookmarkStart w:id="49" w:name="_Toc21497"/>
      <w:bookmarkStart w:id="50" w:name="_Toc32378"/>
      <w:bookmarkStart w:id="51" w:name="_Toc7110"/>
      <w:bookmarkStart w:id="52" w:name="_Toc8202"/>
      <w:r>
        <w:rPr>
          <w:rFonts w:ascii="仿宋" w:hAnsi="仿宋" w:eastAsia="仿宋"/>
          <w:b/>
          <w:bCs/>
          <w:color w:val="000000" w:themeColor="text1"/>
          <w:sz w:val="24"/>
          <w:szCs w:val="24"/>
          <w:lang w:val="zh-CN"/>
          <w14:textFill>
            <w14:solidFill>
              <w14:schemeClr w14:val="tx1"/>
            </w14:solidFill>
          </w14:textFill>
        </w:rPr>
        <w:t>目录</w:t>
      </w:r>
    </w:p>
    <w:p w14:paraId="22044AA4">
      <w:pPr>
        <w:pStyle w:val="20"/>
        <w:keepNext w:val="0"/>
        <w:keepLines w:val="0"/>
        <w:pageBreakBefore w:val="0"/>
        <w:widowControl w:val="0"/>
        <w:tabs>
          <w:tab w:val="right" w:leader="dot" w:pos="8312"/>
          <w:tab w:val="clear" w:pos="8729"/>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
          <w:bCs/>
          <w:color w:val="000000" w:themeColor="text1"/>
          <w:sz w:val="24"/>
          <w:szCs w:val="24"/>
          <w14:textFill>
            <w14:solidFill>
              <w14:schemeClr w14:val="tx1"/>
            </w14:solidFill>
          </w14:textFill>
        </w:rPr>
        <w:fldChar w:fldCharType="begin"/>
      </w:r>
      <w:r>
        <w:rPr>
          <w:rFonts w:hint="eastAsia" w:ascii="仿宋" w:hAnsi="仿宋" w:eastAsia="仿宋" w:cs="仿宋"/>
          <w:b/>
          <w:bCs/>
          <w:color w:val="000000" w:themeColor="text1"/>
          <w:sz w:val="24"/>
          <w:szCs w:val="24"/>
          <w14:textFill>
            <w14:solidFill>
              <w14:schemeClr w14:val="tx1"/>
            </w14:solidFill>
          </w14:textFill>
        </w:rPr>
        <w:instrText xml:space="preserve">TOC \o "1-2" \h \u </w:instrText>
      </w:r>
      <w:r>
        <w:rPr>
          <w:rFonts w:hint="eastAsia" w:ascii="仿宋" w:hAnsi="仿宋" w:eastAsia="仿宋" w:cs="仿宋"/>
          <w:b/>
          <w:bCs/>
          <w:color w:val="000000" w:themeColor="text1"/>
          <w:sz w:val="24"/>
          <w:szCs w:val="24"/>
          <w14:textFill>
            <w14:solidFill>
              <w14:schemeClr w14:val="tx1"/>
            </w14:solidFill>
          </w14:textFill>
        </w:rPr>
        <w:fldChar w:fldCharType="separate"/>
      </w: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_Toc31266 </w:instrText>
      </w:r>
      <w:r>
        <w:rPr>
          <w:rFonts w:hint="eastAsia" w:ascii="仿宋" w:hAnsi="仿宋" w:eastAsia="仿宋" w:cs="仿宋"/>
          <w:bCs/>
          <w:szCs w:val="24"/>
        </w:rPr>
        <w:fldChar w:fldCharType="separate"/>
      </w:r>
      <w:r>
        <w:rPr>
          <w:rFonts w:hint="eastAsia" w:ascii="仿宋" w:hAnsi="仿宋" w:eastAsia="仿宋" w:cs="仿宋"/>
          <w:bCs/>
          <w:lang w:val="en-US" w:eastAsia="zh-CN"/>
        </w:rPr>
        <w:t>第</w:t>
      </w:r>
      <w:r>
        <w:rPr>
          <w:rFonts w:hint="eastAsia" w:ascii="仿宋" w:hAnsi="仿宋" w:eastAsia="仿宋" w:cs="仿宋"/>
          <w:bCs/>
        </w:rPr>
        <w:t>一章采购货物概况</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_Toc31266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4073BBC7">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_Toc2554 </w:instrText>
      </w:r>
      <w:r>
        <w:rPr>
          <w:rFonts w:hint="eastAsia" w:ascii="仿宋" w:hAnsi="仿宋" w:eastAsia="仿宋" w:cs="仿宋"/>
          <w:bCs/>
          <w:szCs w:val="24"/>
        </w:rPr>
        <w:fldChar w:fldCharType="separate"/>
      </w:r>
      <w:r>
        <w:rPr>
          <w:rFonts w:hint="eastAsia" w:ascii="仿宋" w:hAnsi="仿宋" w:eastAsia="仿宋" w:cs="仿宋"/>
          <w:bCs/>
        </w:rPr>
        <w:t>第一节使用环境</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_Toc2554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247CCDE9">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_Toc20734 </w:instrText>
      </w:r>
      <w:r>
        <w:rPr>
          <w:rFonts w:hint="eastAsia" w:ascii="仿宋" w:hAnsi="仿宋" w:eastAsia="仿宋" w:cs="仿宋"/>
          <w:bCs/>
          <w:szCs w:val="24"/>
        </w:rPr>
        <w:fldChar w:fldCharType="separate"/>
      </w:r>
      <w:r>
        <w:rPr>
          <w:rFonts w:hint="eastAsia" w:ascii="仿宋" w:hAnsi="仿宋" w:eastAsia="仿宋" w:cs="仿宋"/>
          <w:bCs/>
        </w:rPr>
        <w:t>第二节采购货物概况</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_Toc20734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1D453DB8">
      <w:pPr>
        <w:pStyle w:val="20"/>
        <w:keepNext w:val="0"/>
        <w:keepLines w:val="0"/>
        <w:pageBreakBefore w:val="0"/>
        <w:widowControl w:val="0"/>
        <w:tabs>
          <w:tab w:val="right" w:leader="dot" w:pos="8312"/>
          <w:tab w:val="clear" w:pos="8729"/>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_Toc7805 </w:instrText>
      </w:r>
      <w:r>
        <w:rPr>
          <w:rFonts w:hint="eastAsia" w:ascii="仿宋" w:hAnsi="仿宋" w:eastAsia="仿宋" w:cs="仿宋"/>
          <w:bCs/>
          <w:szCs w:val="24"/>
        </w:rPr>
        <w:fldChar w:fldCharType="separate"/>
      </w:r>
      <w:r>
        <w:rPr>
          <w:rFonts w:hint="eastAsia" w:ascii="仿宋" w:hAnsi="仿宋" w:eastAsia="仿宋" w:cs="仿宋"/>
          <w:bCs/>
        </w:rPr>
        <w:t>第二章技术要求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_Toc7805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4118536F">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_Toc31691 </w:instrText>
      </w:r>
      <w:r>
        <w:rPr>
          <w:rFonts w:hint="eastAsia" w:ascii="仿宋" w:hAnsi="仿宋" w:eastAsia="仿宋" w:cs="仿宋"/>
          <w:bCs/>
          <w:szCs w:val="24"/>
        </w:rPr>
        <w:fldChar w:fldCharType="separate"/>
      </w:r>
      <w:r>
        <w:rPr>
          <w:rFonts w:hint="eastAsia" w:ascii="仿宋" w:hAnsi="仿宋" w:eastAsia="仿宋" w:cs="仿宋"/>
          <w:bCs/>
        </w:rPr>
        <w:t>1基本要求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_Toc31691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152E7261">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_Toc18994 </w:instrText>
      </w:r>
      <w:r>
        <w:rPr>
          <w:rFonts w:hint="eastAsia" w:ascii="仿宋" w:hAnsi="仿宋" w:eastAsia="仿宋" w:cs="仿宋"/>
          <w:bCs/>
          <w:szCs w:val="24"/>
        </w:rPr>
        <w:fldChar w:fldCharType="separate"/>
      </w:r>
      <w:r>
        <w:rPr>
          <w:rFonts w:hint="eastAsia" w:ascii="仿宋" w:hAnsi="仿宋" w:eastAsia="仿宋" w:cs="仿宋"/>
          <w:bCs/>
        </w:rPr>
        <w:t>2 执行标准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_Toc18994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6638984B">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_Toc17656 </w:instrText>
      </w:r>
      <w:r>
        <w:rPr>
          <w:rFonts w:hint="eastAsia" w:ascii="仿宋" w:hAnsi="仿宋" w:eastAsia="仿宋" w:cs="仿宋"/>
          <w:bCs/>
          <w:szCs w:val="24"/>
        </w:rPr>
        <w:fldChar w:fldCharType="separate"/>
      </w:r>
      <w:r>
        <w:rPr>
          <w:rFonts w:hint="eastAsia" w:ascii="仿宋" w:hAnsi="仿宋" w:eastAsia="仿宋" w:cs="仿宋"/>
          <w:bCs/>
        </w:rPr>
        <w:t>3技术规范</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_Toc17656 \h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09CB822B">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_Toc6116 </w:instrText>
      </w:r>
      <w:r>
        <w:rPr>
          <w:rFonts w:hint="eastAsia" w:ascii="仿宋" w:hAnsi="仿宋" w:eastAsia="仿宋" w:cs="仿宋"/>
          <w:bCs/>
          <w:szCs w:val="24"/>
        </w:rPr>
        <w:fldChar w:fldCharType="separate"/>
      </w:r>
      <w:r>
        <w:rPr>
          <w:rFonts w:hint="eastAsia" w:ascii="仿宋" w:hAnsi="仿宋" w:eastAsia="仿宋" w:cs="仿宋"/>
          <w:bCs/>
        </w:rPr>
        <w:t>4特别提示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_Toc6116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37C9734A">
      <w:pPr>
        <w:pStyle w:val="20"/>
        <w:keepNext w:val="0"/>
        <w:keepLines w:val="0"/>
        <w:pageBreakBefore w:val="0"/>
        <w:widowControl w:val="0"/>
        <w:tabs>
          <w:tab w:val="right" w:leader="dot" w:pos="8312"/>
          <w:tab w:val="clear" w:pos="8729"/>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_Toc13783 </w:instrText>
      </w:r>
      <w:r>
        <w:rPr>
          <w:rFonts w:hint="eastAsia" w:ascii="仿宋" w:hAnsi="仿宋" w:eastAsia="仿宋" w:cs="仿宋"/>
          <w:bCs/>
          <w:szCs w:val="24"/>
        </w:rPr>
        <w:fldChar w:fldCharType="separate"/>
      </w:r>
      <w:r>
        <w:rPr>
          <w:rFonts w:hint="eastAsia" w:ascii="仿宋" w:hAnsi="仿宋" w:eastAsia="仿宋" w:cs="仿宋"/>
          <w:bCs/>
        </w:rPr>
        <w:t>第三章供货范围及供货方式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_Toc13783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15A10F6A">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_Toc13960 </w:instrText>
      </w:r>
      <w:r>
        <w:rPr>
          <w:rFonts w:hint="eastAsia" w:ascii="仿宋" w:hAnsi="仿宋" w:eastAsia="仿宋" w:cs="仿宋"/>
          <w:bCs/>
          <w:szCs w:val="24"/>
        </w:rPr>
        <w:fldChar w:fldCharType="separate"/>
      </w:r>
      <w:r>
        <w:rPr>
          <w:rFonts w:hint="eastAsia" w:ascii="仿宋" w:hAnsi="仿宋" w:eastAsia="仿宋" w:cs="仿宋"/>
          <w:bCs/>
          <w:szCs w:val="24"/>
        </w:rPr>
        <w:t>第一节供货范围</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_Toc13960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43DC9738">
      <w:pPr>
        <w:pStyle w:val="20"/>
        <w:keepNext w:val="0"/>
        <w:keepLines w:val="0"/>
        <w:pageBreakBefore w:val="0"/>
        <w:widowControl w:val="0"/>
        <w:tabs>
          <w:tab w:val="right" w:leader="dot" w:pos="8312"/>
          <w:tab w:val="clear" w:pos="8729"/>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_Toc2250 </w:instrText>
      </w:r>
      <w:r>
        <w:rPr>
          <w:rFonts w:hint="eastAsia" w:ascii="仿宋" w:hAnsi="仿宋" w:eastAsia="仿宋" w:cs="仿宋"/>
          <w:bCs/>
          <w:szCs w:val="24"/>
        </w:rPr>
        <w:fldChar w:fldCharType="separate"/>
      </w:r>
      <w:r>
        <w:rPr>
          <w:rFonts w:hint="eastAsia" w:ascii="仿宋" w:hAnsi="仿宋" w:eastAsia="仿宋" w:cs="仿宋"/>
          <w:bCs/>
        </w:rPr>
        <w:t>第四章售中售后服务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_Toc2250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05FD8531">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_Toc10542 </w:instrText>
      </w:r>
      <w:r>
        <w:rPr>
          <w:rFonts w:hint="eastAsia" w:ascii="仿宋" w:hAnsi="仿宋" w:eastAsia="仿宋" w:cs="仿宋"/>
          <w:bCs/>
          <w:szCs w:val="24"/>
        </w:rPr>
        <w:fldChar w:fldCharType="separate"/>
      </w:r>
      <w:r>
        <w:rPr>
          <w:rFonts w:hint="eastAsia" w:ascii="仿宋" w:hAnsi="仿宋" w:eastAsia="仿宋" w:cs="仿宋"/>
          <w:bCs/>
        </w:rPr>
        <w:t>1技术及培训服务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_Toc10542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412A0858">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_Toc1525 </w:instrText>
      </w:r>
      <w:r>
        <w:rPr>
          <w:rFonts w:hint="eastAsia" w:ascii="仿宋" w:hAnsi="仿宋" w:eastAsia="仿宋" w:cs="仿宋"/>
          <w:bCs/>
          <w:szCs w:val="24"/>
        </w:rPr>
        <w:fldChar w:fldCharType="separate"/>
      </w:r>
      <w:r>
        <w:rPr>
          <w:rFonts w:hint="eastAsia" w:ascii="仿宋" w:hAnsi="仿宋" w:eastAsia="仿宋" w:cs="仿宋"/>
          <w:bCs/>
        </w:rPr>
        <w:t>2安装调试服务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_Toc1525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54999D62">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_Toc27515 </w:instrText>
      </w:r>
      <w:r>
        <w:rPr>
          <w:rFonts w:hint="eastAsia" w:ascii="仿宋" w:hAnsi="仿宋" w:eastAsia="仿宋" w:cs="仿宋"/>
          <w:bCs/>
          <w:szCs w:val="24"/>
        </w:rPr>
        <w:fldChar w:fldCharType="separate"/>
      </w:r>
      <w:r>
        <w:rPr>
          <w:rFonts w:hint="eastAsia" w:ascii="仿宋" w:hAnsi="仿宋" w:eastAsia="仿宋" w:cs="仿宋"/>
          <w:bCs/>
        </w:rPr>
        <w:t>3验收服务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_Toc27515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6BC8C071">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_Toc26183 </w:instrText>
      </w:r>
      <w:r>
        <w:rPr>
          <w:rFonts w:hint="eastAsia" w:ascii="仿宋" w:hAnsi="仿宋" w:eastAsia="仿宋" w:cs="仿宋"/>
          <w:bCs/>
          <w:szCs w:val="24"/>
        </w:rPr>
        <w:fldChar w:fldCharType="separate"/>
      </w:r>
      <w:r>
        <w:rPr>
          <w:rFonts w:hint="eastAsia" w:ascii="仿宋" w:hAnsi="仿宋" w:eastAsia="仿宋" w:cs="仿宋"/>
          <w:bCs/>
        </w:rPr>
        <w:t>4售后服务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_Toc26183 \h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4811144E">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_Toc22262 </w:instrText>
      </w:r>
      <w:r>
        <w:rPr>
          <w:rFonts w:hint="eastAsia" w:ascii="仿宋" w:hAnsi="仿宋" w:eastAsia="仿宋" w:cs="仿宋"/>
          <w:bCs/>
          <w:szCs w:val="24"/>
        </w:rPr>
        <w:fldChar w:fldCharType="separate"/>
      </w:r>
      <w:r>
        <w:rPr>
          <w:rFonts w:hint="eastAsia" w:ascii="仿宋" w:hAnsi="仿宋" w:eastAsia="仿宋" w:cs="仿宋"/>
          <w:bCs/>
        </w:rPr>
        <w:t>5其它服务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_Toc22262 \h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38752AB5">
      <w:pPr>
        <w:pStyle w:val="20"/>
        <w:keepNext w:val="0"/>
        <w:keepLines w:val="0"/>
        <w:pageBreakBefore w:val="0"/>
        <w:widowControl w:val="0"/>
        <w:tabs>
          <w:tab w:val="right" w:leader="dot" w:pos="8312"/>
          <w:tab w:val="clear" w:pos="8729"/>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_Toc30753 </w:instrText>
      </w:r>
      <w:r>
        <w:rPr>
          <w:rFonts w:hint="eastAsia" w:ascii="仿宋" w:hAnsi="仿宋" w:eastAsia="仿宋" w:cs="仿宋"/>
          <w:bCs/>
          <w:szCs w:val="24"/>
        </w:rPr>
        <w:fldChar w:fldCharType="separate"/>
      </w:r>
      <w:r>
        <w:rPr>
          <w:rFonts w:hint="eastAsia" w:ascii="仿宋" w:hAnsi="仿宋" w:eastAsia="仿宋" w:cs="仿宋"/>
          <w:bCs/>
        </w:rPr>
        <w:t>第五章预验收和终验收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_Toc30753 \h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23827ABC">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_Toc14249 </w:instrText>
      </w:r>
      <w:r>
        <w:rPr>
          <w:rFonts w:hint="eastAsia" w:ascii="仿宋" w:hAnsi="仿宋" w:eastAsia="仿宋" w:cs="仿宋"/>
          <w:bCs/>
          <w:szCs w:val="24"/>
        </w:rPr>
        <w:fldChar w:fldCharType="separate"/>
      </w:r>
      <w:r>
        <w:rPr>
          <w:rFonts w:hint="eastAsia" w:ascii="仿宋" w:hAnsi="仿宋" w:eastAsia="仿宋" w:cs="仿宋"/>
          <w:bCs/>
        </w:rPr>
        <w:t>1验收的一般约定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_Toc14249 \h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66DBCEA3">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_Toc23013 </w:instrText>
      </w:r>
      <w:r>
        <w:rPr>
          <w:rFonts w:hint="eastAsia" w:ascii="仿宋" w:hAnsi="仿宋" w:eastAsia="仿宋" w:cs="仿宋"/>
          <w:bCs/>
          <w:szCs w:val="24"/>
        </w:rPr>
        <w:fldChar w:fldCharType="separate"/>
      </w:r>
      <w:r>
        <w:rPr>
          <w:rFonts w:hint="eastAsia" w:ascii="仿宋" w:hAnsi="仿宋" w:eastAsia="仿宋" w:cs="仿宋"/>
          <w:bCs/>
        </w:rPr>
        <w:t>2检验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_Toc23013 \h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15C4F697">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_Toc13033 </w:instrText>
      </w:r>
      <w:r>
        <w:rPr>
          <w:rFonts w:hint="eastAsia" w:ascii="仿宋" w:hAnsi="仿宋" w:eastAsia="仿宋" w:cs="仿宋"/>
          <w:bCs/>
          <w:szCs w:val="24"/>
        </w:rPr>
        <w:fldChar w:fldCharType="separate"/>
      </w:r>
      <w:r>
        <w:rPr>
          <w:rFonts w:hint="eastAsia" w:ascii="仿宋" w:hAnsi="仿宋" w:eastAsia="仿宋" w:cs="仿宋"/>
          <w:bCs/>
        </w:rPr>
        <w:t>3验收条件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_Toc13033 \h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088DD4E2">
      <w:pPr>
        <w:pStyle w:val="24"/>
        <w:keepNext w:val="0"/>
        <w:keepLines w:val="0"/>
        <w:pageBreakBefore w:val="0"/>
        <w:widowControl w:val="0"/>
        <w:tabs>
          <w:tab w:val="right" w:leader="dot" w:pos="8312"/>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_Toc551 </w:instrText>
      </w:r>
      <w:r>
        <w:rPr>
          <w:rFonts w:hint="eastAsia" w:ascii="仿宋" w:hAnsi="仿宋" w:eastAsia="仿宋" w:cs="仿宋"/>
          <w:bCs/>
          <w:szCs w:val="24"/>
        </w:rPr>
        <w:fldChar w:fldCharType="separate"/>
      </w:r>
      <w:r>
        <w:rPr>
          <w:rFonts w:hint="eastAsia" w:ascii="仿宋" w:hAnsi="仿宋" w:eastAsia="仿宋" w:cs="仿宋"/>
          <w:bCs/>
        </w:rPr>
        <w:t>4终验收基本要求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_Toc551 \h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3E884559">
      <w:pPr>
        <w:pStyle w:val="20"/>
        <w:keepNext w:val="0"/>
        <w:keepLines w:val="0"/>
        <w:pageBreakBefore w:val="0"/>
        <w:widowControl w:val="0"/>
        <w:tabs>
          <w:tab w:val="right" w:leader="dot" w:pos="8312"/>
          <w:tab w:val="clear" w:pos="8729"/>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_Toc31042 </w:instrText>
      </w:r>
      <w:r>
        <w:rPr>
          <w:rFonts w:hint="eastAsia" w:ascii="仿宋" w:hAnsi="仿宋" w:eastAsia="仿宋" w:cs="仿宋"/>
          <w:bCs/>
          <w:szCs w:val="24"/>
        </w:rPr>
        <w:fldChar w:fldCharType="separate"/>
      </w:r>
      <w:r>
        <w:rPr>
          <w:rFonts w:hint="eastAsia" w:ascii="仿宋" w:hAnsi="仿宋" w:eastAsia="仿宋" w:cs="仿宋"/>
          <w:bCs/>
        </w:rPr>
        <w:t>第六章投标技术文件一般要求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_Toc31042 \h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2B5C2D19">
      <w:pPr>
        <w:pStyle w:val="20"/>
        <w:keepNext w:val="0"/>
        <w:keepLines w:val="0"/>
        <w:pageBreakBefore w:val="0"/>
        <w:widowControl w:val="0"/>
        <w:tabs>
          <w:tab w:val="right" w:leader="dot" w:pos="8312"/>
          <w:tab w:val="clear" w:pos="8729"/>
        </w:tabs>
        <w:kinsoku/>
        <w:wordWrap/>
        <w:overflowPunct/>
        <w:topLinePunct w:val="0"/>
        <w:autoSpaceDE/>
        <w:autoSpaceDN/>
        <w:bidi w:val="0"/>
        <w:adjustRightInd/>
        <w:snapToGrid/>
        <w:spacing w:line="360" w:lineRule="auto"/>
        <w:textAlignment w:val="auto"/>
        <w:rPr>
          <w:rFonts w:hint="eastAsia" w:ascii="仿宋" w:hAnsi="仿宋" w:eastAsia="仿宋" w:cs="仿宋"/>
        </w:rPr>
      </w:pPr>
      <w:r>
        <w:rPr>
          <w:rFonts w:hint="eastAsia" w:ascii="仿宋" w:hAnsi="仿宋" w:eastAsia="仿宋" w:cs="仿宋"/>
          <w:bCs/>
          <w:color w:val="000000" w:themeColor="text1"/>
          <w:szCs w:val="24"/>
          <w14:textFill>
            <w14:solidFill>
              <w14:schemeClr w14:val="tx1"/>
            </w14:solidFill>
          </w14:textFill>
        </w:rPr>
        <w:fldChar w:fldCharType="begin"/>
      </w:r>
      <w:r>
        <w:rPr>
          <w:rFonts w:hint="eastAsia" w:ascii="仿宋" w:hAnsi="仿宋" w:eastAsia="仿宋" w:cs="仿宋"/>
          <w:bCs/>
          <w:szCs w:val="24"/>
        </w:rPr>
        <w:instrText xml:space="preserve"> HYPERLINK \l _Toc19043 </w:instrText>
      </w:r>
      <w:r>
        <w:rPr>
          <w:rFonts w:hint="eastAsia" w:ascii="仿宋" w:hAnsi="仿宋" w:eastAsia="仿宋" w:cs="仿宋"/>
          <w:bCs/>
          <w:szCs w:val="24"/>
        </w:rPr>
        <w:fldChar w:fldCharType="separate"/>
      </w:r>
      <w:r>
        <w:rPr>
          <w:rFonts w:hint="eastAsia" w:ascii="仿宋" w:hAnsi="仿宋" w:eastAsia="仿宋" w:cs="仿宋"/>
          <w:bCs/>
        </w:rPr>
        <w:t>第七章其它要求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_Toc19043 \h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r>
        <w:rPr>
          <w:rFonts w:hint="eastAsia" w:ascii="仿宋" w:hAnsi="仿宋" w:eastAsia="仿宋" w:cs="仿宋"/>
          <w:bCs/>
          <w:color w:val="000000" w:themeColor="text1"/>
          <w:szCs w:val="24"/>
          <w14:textFill>
            <w14:solidFill>
              <w14:schemeClr w14:val="tx1"/>
            </w14:solidFill>
          </w14:textFill>
        </w:rPr>
        <w:fldChar w:fldCharType="end"/>
      </w:r>
    </w:p>
    <w:p w14:paraId="4792AE66">
      <w:pPr>
        <w:rPr>
          <w:rFonts w:hint="eastAsia" w:ascii="仿宋" w:hAnsi="仿宋" w:eastAsia="仿宋" w:cs="仿宋"/>
          <w:bCs/>
          <w:color w:val="000000" w:themeColor="text1"/>
          <w:szCs w:val="24"/>
          <w14:textFill>
            <w14:solidFill>
              <w14:schemeClr w14:val="tx1"/>
            </w14:solidFill>
          </w14:textFill>
        </w:rPr>
      </w:pPr>
      <w:r>
        <w:rPr>
          <w:rFonts w:hint="eastAsia" w:ascii="仿宋" w:hAnsi="仿宋" w:eastAsia="仿宋" w:cs="仿宋"/>
          <w:bCs/>
          <w:color w:val="000000" w:themeColor="text1"/>
          <w:szCs w:val="24"/>
          <w14:textFill>
            <w14:solidFill>
              <w14:schemeClr w14:val="tx1"/>
            </w14:solidFill>
          </w14:textFill>
        </w:rPr>
        <w:br w:type="page"/>
      </w:r>
    </w:p>
    <w:p w14:paraId="53E1988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 w:hAnsi="仿宋" w:eastAsia="仿宋" w:cs="仿宋"/>
          <w:b/>
          <w:bCs/>
          <w:color w:val="000000" w:themeColor="text1"/>
          <w14:textFill>
            <w14:solidFill>
              <w14:schemeClr w14:val="tx1"/>
            </w14:solidFill>
          </w14:textFill>
        </w:rPr>
      </w:pPr>
      <w:r>
        <w:rPr>
          <w:rFonts w:hint="eastAsia" w:ascii="仿宋" w:hAnsi="仿宋" w:eastAsia="仿宋" w:cs="仿宋"/>
          <w:bCs/>
          <w:color w:val="000000" w:themeColor="text1"/>
          <w:szCs w:val="24"/>
          <w14:textFill>
            <w14:solidFill>
              <w14:schemeClr w14:val="tx1"/>
            </w14:solidFill>
          </w14:textFill>
        </w:rPr>
        <w:fldChar w:fldCharType="end"/>
      </w:r>
      <w:bookmarkStart w:id="53" w:name="_Toc6957"/>
      <w:bookmarkStart w:id="54" w:name="_Toc20272"/>
      <w:bookmarkStart w:id="55" w:name="_Toc31266"/>
      <w:bookmarkStart w:id="56" w:name="_Toc19716"/>
      <w:bookmarkStart w:id="57" w:name="_Toc2174"/>
      <w:bookmarkStart w:id="58" w:name="_Toc73112396"/>
      <w:bookmarkStart w:id="59" w:name="_Toc7975"/>
      <w:bookmarkStart w:id="60" w:name="_Toc4029"/>
      <w:bookmarkStart w:id="61" w:name="_Toc19570"/>
      <w:bookmarkStart w:id="62" w:name="_Toc23274"/>
      <w:bookmarkStart w:id="63" w:name="_Toc2042"/>
      <w:bookmarkStart w:id="64" w:name="_Toc17455"/>
      <w:r>
        <w:rPr>
          <w:rFonts w:hint="eastAsia" w:ascii="仿宋" w:hAnsi="仿宋" w:eastAsia="仿宋" w:cs="仿宋"/>
          <w:b/>
          <w:bCs/>
          <w:color w:val="000000" w:themeColor="text1"/>
          <w:lang w:val="en-US" w:eastAsia="zh-CN"/>
          <w14:textFill>
            <w14:solidFill>
              <w14:schemeClr w14:val="tx1"/>
            </w14:solidFill>
          </w14:textFill>
        </w:rPr>
        <w:t>第</w:t>
      </w:r>
      <w:r>
        <w:rPr>
          <w:rFonts w:hint="eastAsia" w:ascii="仿宋" w:hAnsi="仿宋" w:eastAsia="仿宋" w:cs="仿宋"/>
          <w:b/>
          <w:bCs/>
          <w:color w:val="000000" w:themeColor="text1"/>
          <w14:textFill>
            <w14:solidFill>
              <w14:schemeClr w14:val="tx1"/>
            </w14:solidFill>
          </w14:textFill>
        </w:rPr>
        <w:t>一章采购货物概况</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Start w:id="65" w:name="_Toc133783967"/>
    </w:p>
    <w:p w14:paraId="5718ECB2">
      <w:pPr>
        <w:adjustRightInd w:val="0"/>
        <w:snapToGrid w:val="0"/>
        <w:spacing w:line="360" w:lineRule="auto"/>
        <w:jc w:val="center"/>
        <w:outlineLvl w:val="1"/>
        <w:rPr>
          <w:rFonts w:ascii="仿宋" w:hAnsi="仿宋" w:eastAsia="仿宋" w:cs="仿宋"/>
          <w:b/>
          <w:bCs/>
          <w:color w:val="000000" w:themeColor="text1"/>
          <w14:textFill>
            <w14:solidFill>
              <w14:schemeClr w14:val="tx1"/>
            </w14:solidFill>
          </w14:textFill>
        </w:rPr>
      </w:pPr>
      <w:bookmarkStart w:id="66" w:name="_Toc5172"/>
      <w:bookmarkStart w:id="67" w:name="_Toc4004"/>
      <w:bookmarkStart w:id="68" w:name="_Toc11763"/>
      <w:bookmarkStart w:id="69" w:name="_Toc19070"/>
      <w:bookmarkStart w:id="70" w:name="_Toc17474"/>
      <w:bookmarkStart w:id="71" w:name="_Toc22942"/>
      <w:bookmarkStart w:id="72" w:name="_Toc5420"/>
      <w:bookmarkStart w:id="73" w:name="_Toc21756"/>
      <w:bookmarkStart w:id="74" w:name="_Toc7333"/>
      <w:bookmarkStart w:id="75" w:name="_Toc24689"/>
      <w:bookmarkStart w:id="76" w:name="_Toc6436"/>
      <w:bookmarkStart w:id="77" w:name="_Toc5983"/>
      <w:bookmarkStart w:id="78" w:name="_Toc16714"/>
      <w:bookmarkStart w:id="79" w:name="_Toc30808"/>
      <w:bookmarkStart w:id="80" w:name="_Toc21892"/>
      <w:bookmarkStart w:id="81" w:name="_Toc30246"/>
      <w:bookmarkStart w:id="82" w:name="_Toc30245"/>
      <w:bookmarkStart w:id="83" w:name="_Toc2152"/>
      <w:bookmarkStart w:id="84" w:name="_Toc2940"/>
      <w:bookmarkStart w:id="85" w:name="_Toc25011"/>
      <w:bookmarkStart w:id="86" w:name="_Toc28361"/>
      <w:bookmarkStart w:id="87" w:name="_Toc7515"/>
      <w:bookmarkStart w:id="88" w:name="_Toc11411"/>
      <w:bookmarkStart w:id="89" w:name="_Toc864"/>
      <w:bookmarkStart w:id="90" w:name="_Toc22424"/>
      <w:bookmarkStart w:id="91" w:name="_Toc7159"/>
      <w:bookmarkStart w:id="92" w:name="_Toc5609"/>
      <w:bookmarkStart w:id="93" w:name="_Toc9983"/>
      <w:bookmarkStart w:id="94" w:name="_Toc2554"/>
      <w:bookmarkStart w:id="95" w:name="_Toc5400"/>
      <w:bookmarkStart w:id="96" w:name="_Toc892"/>
      <w:bookmarkStart w:id="97" w:name="_Toc6498"/>
      <w:bookmarkStart w:id="98" w:name="_Toc23180"/>
      <w:bookmarkStart w:id="99" w:name="_Toc29157"/>
      <w:bookmarkStart w:id="100" w:name="_Toc27214"/>
      <w:bookmarkStart w:id="101" w:name="_Toc29605"/>
      <w:bookmarkStart w:id="102" w:name="_Toc8362"/>
      <w:bookmarkStart w:id="103" w:name="_Toc5826"/>
      <w:bookmarkStart w:id="104" w:name="_Toc27040"/>
      <w:bookmarkStart w:id="105" w:name="_Toc6606"/>
      <w:bookmarkStart w:id="106" w:name="_Toc31000"/>
      <w:bookmarkStart w:id="107" w:name="_Toc2996"/>
      <w:bookmarkStart w:id="108" w:name="_Toc73112397"/>
      <w:bookmarkStart w:id="109" w:name="_Toc10612"/>
      <w:bookmarkStart w:id="110" w:name="_Toc29927"/>
      <w:r>
        <w:rPr>
          <w:rFonts w:hint="eastAsia" w:ascii="仿宋" w:hAnsi="仿宋" w:eastAsia="仿宋" w:cs="仿宋"/>
          <w:b/>
          <w:bCs/>
          <w:color w:val="000000" w:themeColor="text1"/>
          <w14:textFill>
            <w14:solidFill>
              <w14:schemeClr w14:val="tx1"/>
            </w14:solidFill>
          </w14:textFill>
        </w:rPr>
        <w:t>第一节使用环境</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43753BB5">
      <w:pPr>
        <w:pStyle w:val="16"/>
        <w:tabs>
          <w:tab w:val="left" w:pos="0"/>
        </w:tabs>
        <w:snapToGrid w:val="0"/>
        <w:spacing w:line="360" w:lineRule="auto"/>
        <w:ind w:firstLine="480" w:firstLineChars="200"/>
        <w:rPr>
          <w:rFonts w:hint="default" w:ascii="仿宋" w:hAnsi="仿宋" w:eastAsia="仿宋" w:cs="仿宋"/>
          <w:color w:val="000000" w:themeColor="text1"/>
          <w:shd w:val="pct10" w:color="auto" w:fill="FFFFFF"/>
          <w:lang w:val="en-US" w:eastAsia="zh-CN"/>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1项目名称：</w:t>
      </w:r>
      <w:r>
        <w:rPr>
          <w:rFonts w:hint="eastAsia" w:ascii="仿宋" w:hAnsi="仿宋" w:eastAsia="仿宋" w:cs="仿宋"/>
          <w:color w:val="000000" w:themeColor="text1"/>
          <w:shd w:val="pct10" w:color="auto" w:fill="FFFFFF"/>
          <w:lang w:val="en-US" w:eastAsia="zh-CN"/>
          <w14:textFill>
            <w14:solidFill>
              <w14:schemeClr w14:val="tx1"/>
            </w14:solidFill>
          </w14:textFill>
        </w:rPr>
        <w:t>主减总成产能提升技改项目、轮毂总成装配产能提升技改项目、电驱桥总成齿轮油定量加注技改项目配套柔性吊</w:t>
      </w:r>
    </w:p>
    <w:p w14:paraId="3A907249">
      <w:pPr>
        <w:pStyle w:val="16"/>
        <w:snapToGrid w:val="0"/>
        <w:spacing w:line="360" w:lineRule="auto"/>
        <w:ind w:firstLine="480" w:firstLineChars="200"/>
        <w:rPr>
          <w:rFonts w:ascii="仿宋" w:hAnsi="仿宋" w:eastAsia="仿宋" w:cs="仿宋"/>
          <w:color w:val="000000" w:themeColor="text1"/>
          <w:shd w:val="pct10" w:color="auto" w:fill="FFFFFF"/>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2建设地点：</w:t>
      </w:r>
      <w:r>
        <w:rPr>
          <w:rFonts w:hint="eastAsia" w:ascii="仿宋" w:hAnsi="仿宋" w:eastAsia="仿宋" w:cs="仿宋"/>
          <w:color w:val="000000" w:themeColor="text1"/>
          <w:shd w:val="pct10" w:color="auto" w:fill="FFFFFF"/>
          <w14:textFill>
            <w14:solidFill>
              <w14:schemeClr w14:val="tx1"/>
            </w14:solidFill>
          </w14:textFill>
        </w:rPr>
        <w:t>重汽(济南)车桥有限公司</w:t>
      </w:r>
      <w:r>
        <w:rPr>
          <w:rFonts w:hint="eastAsia" w:ascii="仿宋" w:hAnsi="仿宋" w:eastAsia="仿宋" w:cs="仿宋"/>
          <w:color w:val="000000" w:themeColor="text1"/>
          <w14:textFill>
            <w14:solidFill>
              <w14:schemeClr w14:val="tx1"/>
            </w14:solidFill>
          </w14:textFill>
        </w:rPr>
        <w:t>（工地）</w:t>
      </w:r>
    </w:p>
    <w:p w14:paraId="776449F4">
      <w:pPr>
        <w:pStyle w:val="16"/>
        <w:snapToGrid w:val="0"/>
        <w:spacing w:line="360" w:lineRule="auto"/>
        <w:ind w:firstLine="480" w:firstLineChars="200"/>
        <w:rPr>
          <w:rFonts w:ascii="仿宋" w:hAnsi="仿宋" w:eastAsia="仿宋" w:cs="仿宋"/>
          <w:color w:val="000000" w:themeColor="text1"/>
          <w:shd w:val="pct10" w:color="auto" w:fill="FFFFFF"/>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3使用地点：</w:t>
      </w:r>
      <w:r>
        <w:rPr>
          <w:rFonts w:hint="eastAsia" w:ascii="仿宋" w:hAnsi="仿宋" w:eastAsia="仿宋" w:cs="仿宋"/>
          <w:color w:val="000000" w:themeColor="text1"/>
          <w:shd w:val="pct10" w:color="auto" w:fill="FFFFFF"/>
          <w14:textFill>
            <w14:solidFill>
              <w14:schemeClr w14:val="tx1"/>
            </w14:solidFill>
          </w14:textFill>
        </w:rPr>
        <w:t>车桥公司</w:t>
      </w:r>
      <w:r>
        <w:rPr>
          <w:rFonts w:hint="eastAsia" w:ascii="仿宋" w:hAnsi="仿宋" w:eastAsia="仿宋" w:cs="仿宋"/>
          <w:color w:val="000000" w:themeColor="text1"/>
          <w:shd w:val="pct10" w:color="auto" w:fill="FFFFFF"/>
          <w:lang w:val="en-US" w:eastAsia="zh-CN"/>
          <w14:textFill>
            <w14:solidFill>
              <w14:schemeClr w14:val="tx1"/>
            </w14:solidFill>
          </w14:textFill>
        </w:rPr>
        <w:t>主减速器部、零部件加工、驱动桥部</w:t>
      </w:r>
      <w:r>
        <w:rPr>
          <w:rFonts w:hint="eastAsia" w:ascii="仿宋" w:hAnsi="仿宋" w:eastAsia="仿宋" w:cs="仿宋"/>
          <w:color w:val="000000" w:themeColor="text1"/>
          <w14:textFill>
            <w14:solidFill>
              <w14:schemeClr w14:val="tx1"/>
            </w14:solidFill>
          </w14:textFill>
        </w:rPr>
        <w:t>（室内）</w:t>
      </w:r>
    </w:p>
    <w:p w14:paraId="63F2558D">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4工作制度：全年工作</w:t>
      </w:r>
      <w:r>
        <w:rPr>
          <w:rFonts w:hint="eastAsia" w:ascii="仿宋" w:hAnsi="仿宋" w:eastAsia="仿宋" w:cs="仿宋"/>
          <w:color w:val="000000" w:themeColor="text1"/>
          <w:shd w:val="pct10" w:color="auto" w:fill="FFFFFF"/>
          <w14:textFill>
            <w14:solidFill>
              <w14:schemeClr w14:val="tx1"/>
            </w14:solidFill>
          </w14:textFill>
        </w:rPr>
        <w:t>300</w:t>
      </w:r>
      <w:r>
        <w:rPr>
          <w:rFonts w:hint="eastAsia" w:ascii="仿宋" w:hAnsi="仿宋" w:eastAsia="仿宋" w:cs="仿宋"/>
          <w:color w:val="000000" w:themeColor="text1"/>
          <w14:textFill>
            <w14:solidFill>
              <w14:schemeClr w14:val="tx1"/>
            </w14:solidFill>
          </w14:textFill>
        </w:rPr>
        <w:t>天、</w:t>
      </w:r>
      <w:r>
        <w:rPr>
          <w:rFonts w:hint="eastAsia" w:ascii="仿宋" w:hAnsi="仿宋" w:eastAsia="仿宋" w:cs="仿宋"/>
          <w:color w:val="000000" w:themeColor="text1"/>
          <w:shd w:val="pct10" w:color="auto" w:fill="FFFFFF"/>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班制、设备年时基数 </w:t>
      </w:r>
      <w:r>
        <w:rPr>
          <w:rFonts w:hint="eastAsia" w:ascii="仿宋" w:hAnsi="仿宋" w:eastAsia="仿宋" w:cs="仿宋"/>
          <w:color w:val="000000" w:themeColor="text1"/>
          <w:shd w:val="pct10" w:color="auto" w:fill="FFFFFF"/>
          <w14:textFill>
            <w14:solidFill>
              <w14:schemeClr w14:val="tx1"/>
            </w14:solidFill>
          </w14:textFill>
        </w:rPr>
        <w:t>7200</w:t>
      </w:r>
      <w:r>
        <w:rPr>
          <w:rFonts w:hint="eastAsia" w:ascii="仿宋" w:hAnsi="仿宋" w:eastAsia="仿宋" w:cs="仿宋"/>
          <w:color w:val="000000" w:themeColor="text1"/>
          <w14:textFill>
            <w14:solidFill>
              <w14:schemeClr w14:val="tx1"/>
            </w14:solidFill>
          </w14:textFill>
        </w:rPr>
        <w:t xml:space="preserve"> 小时</w:t>
      </w:r>
    </w:p>
    <w:p w14:paraId="158D95FA">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5使用地点区域自然环境：</w:t>
      </w:r>
    </w:p>
    <w:p w14:paraId="3A8A68E9">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5.1海拨高度：1000m以下。</w:t>
      </w:r>
    </w:p>
    <w:p w14:paraId="403964EC">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5.2环境温度：室外极端最低温度-19.7℃、极端最高温度42℃，昼夜最大温差25℃；室内温度5～40℃。</w:t>
      </w:r>
    </w:p>
    <w:p w14:paraId="65B93DE3">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5.3相对湿度：年平均59%，最大95%、最小15%。</w:t>
      </w:r>
    </w:p>
    <w:p w14:paraId="49EA3ACC">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 地震裂度：七度。</w:t>
      </w:r>
    </w:p>
    <w:p w14:paraId="3C300D5A">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6能源环境：</w:t>
      </w:r>
    </w:p>
    <w:p w14:paraId="24036D47">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6.1电力：中国制式，供电电压</w:t>
      </w:r>
      <w:r>
        <w:rPr>
          <w:rFonts w:hint="eastAsia" w:ascii="仿宋" w:hAnsi="仿宋" w:eastAsia="仿宋" w:cs="仿宋"/>
          <w:color w:val="000000" w:themeColor="text1"/>
          <w:u w:val="single"/>
          <w:shd w:val="pct10" w:color="auto" w:fill="FFFFFF"/>
          <w14:textFill>
            <w14:solidFill>
              <w14:schemeClr w14:val="tx1"/>
            </w14:solidFill>
          </w14:textFill>
        </w:rPr>
        <w:t>380V±15%/220V±15%</w:t>
      </w:r>
      <w:r>
        <w:rPr>
          <w:rFonts w:hint="eastAsia" w:ascii="仿宋" w:hAnsi="仿宋" w:eastAsia="仿宋" w:cs="仿宋"/>
          <w:color w:val="000000" w:themeColor="text1"/>
          <w14:textFill>
            <w14:solidFill>
              <w14:schemeClr w14:val="tx1"/>
            </w14:solidFill>
          </w14:textFill>
        </w:rPr>
        <w:t>，供电频率50Hz±2%。</w:t>
      </w:r>
    </w:p>
    <w:p w14:paraId="123BF7C8">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6.2 </w:t>
      </w:r>
      <w:r>
        <w:rPr>
          <w:rFonts w:hint="eastAsia" w:ascii="仿宋" w:hAnsi="仿宋" w:eastAsia="仿宋" w:cs="仿宋"/>
          <w:color w:val="000000" w:themeColor="text1"/>
          <w:kern w:val="0"/>
          <w14:textFill>
            <w14:solidFill>
              <w14:schemeClr w14:val="tx1"/>
            </w14:solidFill>
          </w14:textFill>
        </w:rPr>
        <w:t>给水：市政自来水</w:t>
      </w:r>
    </w:p>
    <w:p w14:paraId="57A65E72">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6.3压缩空气：自备空压机自产压缩空气，压力范围</w:t>
      </w:r>
      <w:r>
        <w:rPr>
          <w:rFonts w:hint="eastAsia" w:ascii="仿宋" w:hAnsi="仿宋" w:eastAsia="仿宋" w:cs="仿宋"/>
          <w:color w:val="000000" w:themeColor="text1"/>
          <w:u w:val="single"/>
          <w:shd w:val="pct10" w:color="auto" w:fill="FFFFFF"/>
          <w14:textFill>
            <w14:solidFill>
              <w14:schemeClr w14:val="tx1"/>
            </w14:solidFill>
          </w14:textFill>
        </w:rPr>
        <w:t>0.5 ±0.1MPa</w:t>
      </w:r>
      <w:r>
        <w:rPr>
          <w:rFonts w:hint="eastAsia" w:ascii="仿宋" w:hAnsi="仿宋" w:eastAsia="仿宋" w:cs="仿宋"/>
          <w:color w:val="000000" w:themeColor="text1"/>
          <w14:textFill>
            <w14:solidFill>
              <w14:schemeClr w14:val="tx1"/>
            </w14:solidFill>
          </w14:textFill>
        </w:rPr>
        <w:t>。</w:t>
      </w:r>
      <w:bookmarkStart w:id="111" w:name="_Toc429"/>
      <w:bookmarkStart w:id="112" w:name="_Toc23473"/>
      <w:bookmarkStart w:id="113" w:name="_Toc5374"/>
      <w:bookmarkStart w:id="114" w:name="_Toc17543"/>
      <w:bookmarkStart w:id="115" w:name="_Toc5421"/>
      <w:bookmarkStart w:id="116" w:name="_Toc17605"/>
      <w:bookmarkStart w:id="117" w:name="_Toc5282"/>
      <w:bookmarkStart w:id="118" w:name="_Toc13324"/>
      <w:bookmarkStart w:id="119" w:name="_Toc9671"/>
      <w:bookmarkStart w:id="120" w:name="_Toc18569"/>
      <w:bookmarkStart w:id="121" w:name="_Toc15369"/>
      <w:bookmarkStart w:id="122" w:name="_Toc8740"/>
      <w:bookmarkStart w:id="123" w:name="_Toc133783968"/>
      <w:bookmarkStart w:id="124" w:name="_Toc6433"/>
      <w:bookmarkStart w:id="125" w:name="_Toc17682"/>
      <w:bookmarkStart w:id="126" w:name="_Toc27857"/>
      <w:bookmarkStart w:id="127" w:name="_Toc30431"/>
      <w:bookmarkStart w:id="128" w:name="_Toc24481"/>
      <w:bookmarkStart w:id="129" w:name="_Toc12401"/>
      <w:bookmarkStart w:id="130" w:name="_Toc21616"/>
      <w:bookmarkStart w:id="131" w:name="_Toc9784"/>
      <w:bookmarkStart w:id="132" w:name="_Toc22983"/>
      <w:bookmarkStart w:id="133" w:name="_Toc6636"/>
      <w:bookmarkStart w:id="134" w:name="_Toc31241"/>
      <w:bookmarkStart w:id="135" w:name="_Toc29333"/>
      <w:bookmarkStart w:id="136" w:name="_Toc8728"/>
      <w:bookmarkStart w:id="137" w:name="_Toc9143"/>
      <w:bookmarkStart w:id="138" w:name="_Toc11744"/>
      <w:bookmarkStart w:id="139" w:name="_Toc27449"/>
      <w:bookmarkStart w:id="140" w:name="_Toc4175"/>
      <w:bookmarkStart w:id="141" w:name="_Toc9561"/>
      <w:bookmarkStart w:id="142" w:name="_Toc24563"/>
      <w:bookmarkStart w:id="143" w:name="_Toc29019"/>
    </w:p>
    <w:p w14:paraId="1DCE1331">
      <w:pPr>
        <w:adjustRightInd w:val="0"/>
        <w:snapToGrid w:val="0"/>
        <w:spacing w:line="360" w:lineRule="auto"/>
        <w:jc w:val="center"/>
        <w:outlineLvl w:val="1"/>
        <w:rPr>
          <w:rFonts w:ascii="仿宋" w:hAnsi="仿宋" w:eastAsia="仿宋" w:cs="仿宋"/>
          <w:color w:val="000000" w:themeColor="text1"/>
          <w14:textFill>
            <w14:solidFill>
              <w14:schemeClr w14:val="tx1"/>
            </w14:solidFill>
          </w14:textFill>
        </w:rPr>
      </w:pPr>
      <w:bookmarkStart w:id="144" w:name="_Toc29190"/>
      <w:bookmarkStart w:id="145" w:name="_Toc18032"/>
      <w:bookmarkStart w:id="146" w:name="_Toc20734"/>
      <w:bookmarkStart w:id="147" w:name="_Toc10013"/>
      <w:bookmarkStart w:id="148" w:name="_Toc24624"/>
      <w:bookmarkStart w:id="149" w:name="_Toc24559"/>
      <w:bookmarkStart w:id="150" w:name="_Toc18778"/>
      <w:bookmarkStart w:id="151" w:name="_Toc21302"/>
      <w:bookmarkStart w:id="152" w:name="_Toc8560"/>
      <w:bookmarkStart w:id="153" w:name="_Toc17750"/>
      <w:bookmarkStart w:id="154" w:name="_Toc13544"/>
      <w:bookmarkStart w:id="155" w:name="_Toc21957"/>
      <w:bookmarkStart w:id="156" w:name="_Toc1523"/>
      <w:bookmarkStart w:id="157" w:name="_Toc1424"/>
      <w:bookmarkStart w:id="158" w:name="_Toc32599"/>
      <w:bookmarkStart w:id="159" w:name="_Toc73112398"/>
      <w:bookmarkStart w:id="160" w:name="_Toc21130"/>
      <w:r>
        <w:rPr>
          <w:rFonts w:hint="eastAsia" w:ascii="仿宋" w:hAnsi="仿宋" w:eastAsia="仿宋" w:cs="仿宋"/>
          <w:b/>
          <w:bCs/>
          <w:color w:val="000000" w:themeColor="text1"/>
          <w14:textFill>
            <w14:solidFill>
              <w14:schemeClr w14:val="tx1"/>
            </w14:solidFill>
          </w14:textFill>
        </w:rPr>
        <w:t>第二节采购货物概况</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08602346">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1货物：</w:t>
      </w:r>
      <w:r>
        <w:rPr>
          <w:rFonts w:hint="eastAsia" w:ascii="仿宋" w:hAnsi="仿宋" w:eastAsia="仿宋" w:cs="仿宋"/>
          <w:color w:val="auto"/>
          <w:highlight w:val="none"/>
          <w:u w:val="single"/>
          <w:lang w:val="en-US" w:eastAsia="zh-CN"/>
        </w:rPr>
        <w:t>柔性吊</w:t>
      </w:r>
      <w:r>
        <w:rPr>
          <w:rFonts w:hint="eastAsia" w:ascii="仿宋" w:hAnsi="仿宋" w:eastAsia="仿宋" w:cs="仿宋"/>
          <w:color w:val="000000" w:themeColor="text1"/>
          <w14:textFill>
            <w14:solidFill>
              <w14:schemeClr w14:val="tx1"/>
            </w14:solidFill>
          </w14:textFill>
        </w:rPr>
        <w:t>（详见下表）</w:t>
      </w:r>
    </w:p>
    <w:p w14:paraId="48583302">
      <w:pPr>
        <w:pStyle w:val="16"/>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2货物数量：</w:t>
      </w:r>
      <w:r>
        <w:rPr>
          <w:rFonts w:hint="eastAsia" w:ascii="仿宋" w:hAnsi="仿宋" w:eastAsia="仿宋" w:cs="仿宋"/>
          <w:color w:val="auto"/>
          <w:highlight w:val="none"/>
          <w:u w:val="single"/>
          <w:lang w:val="en-US" w:eastAsia="zh-CN"/>
        </w:rPr>
        <w:t>18套</w:t>
      </w:r>
      <w:r>
        <w:rPr>
          <w:rFonts w:hint="eastAsia" w:ascii="仿宋" w:hAnsi="仿宋" w:eastAsia="仿宋" w:cs="仿宋"/>
          <w:color w:val="auto"/>
          <w:highlight w:val="none"/>
        </w:rPr>
        <w:t>（详见下表）</w:t>
      </w:r>
    </w:p>
    <w:p w14:paraId="2DCC53E1">
      <w:pPr>
        <w:pStyle w:val="16"/>
        <w:snapToGrid w:val="0"/>
        <w:spacing w:line="360" w:lineRule="auto"/>
        <w:ind w:firstLine="480" w:firstLineChars="200"/>
        <w:jc w:val="center"/>
        <w:rPr>
          <w:rFonts w:ascii="仿宋" w:hAnsi="仿宋" w:eastAsia="仿宋" w:cs="仿宋"/>
          <w:color w:val="auto"/>
          <w:highlight w:val="none"/>
        </w:rPr>
      </w:pPr>
      <w:r>
        <w:rPr>
          <w:rFonts w:hint="eastAsia" w:ascii="仿宋" w:hAnsi="仿宋" w:eastAsia="仿宋" w:cs="仿宋"/>
          <w:color w:val="auto"/>
          <w:highlight w:val="none"/>
        </w:rPr>
        <w:t>采购货物主要构成一览表</w:t>
      </w:r>
    </w:p>
    <w:tbl>
      <w:tblPr>
        <w:tblStyle w:val="30"/>
        <w:tblW w:w="8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096"/>
        <w:gridCol w:w="844"/>
        <w:gridCol w:w="476"/>
        <w:gridCol w:w="433"/>
        <w:gridCol w:w="1557"/>
        <w:gridCol w:w="967"/>
        <w:gridCol w:w="2152"/>
      </w:tblGrid>
      <w:tr w14:paraId="3A60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shd w:val="clear" w:color="auto" w:fill="auto"/>
            <w:vAlign w:val="center"/>
          </w:tcPr>
          <w:p w14:paraId="14ED08AC">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sz w:val="21"/>
                <w:szCs w:val="21"/>
                <w:highlight w:val="none"/>
              </w:rPr>
            </w:pPr>
            <w:r>
              <w:rPr>
                <w:rFonts w:hint="eastAsia" w:ascii="仿宋" w:hAnsi="仿宋" w:eastAsia="仿宋" w:cs="仿宋"/>
                <w:color w:val="auto"/>
                <w:kern w:val="2"/>
                <w:sz w:val="21"/>
                <w:szCs w:val="21"/>
                <w:highlight w:val="none"/>
              </w:rPr>
              <w:t>序号</w:t>
            </w:r>
          </w:p>
        </w:tc>
        <w:tc>
          <w:tcPr>
            <w:tcW w:w="1096" w:type="dxa"/>
            <w:shd w:val="clear" w:color="auto" w:fill="auto"/>
            <w:vAlign w:val="center"/>
          </w:tcPr>
          <w:p w14:paraId="3960BA4C">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货物名称</w:t>
            </w:r>
          </w:p>
        </w:tc>
        <w:tc>
          <w:tcPr>
            <w:tcW w:w="844" w:type="dxa"/>
            <w:shd w:val="clear" w:color="auto" w:fill="auto"/>
            <w:vAlign w:val="center"/>
          </w:tcPr>
          <w:p w14:paraId="5E291245">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型号</w:t>
            </w:r>
          </w:p>
          <w:p w14:paraId="036C26BE">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规格</w:t>
            </w:r>
          </w:p>
        </w:tc>
        <w:tc>
          <w:tcPr>
            <w:tcW w:w="476" w:type="dxa"/>
            <w:shd w:val="clear" w:color="auto" w:fill="auto"/>
            <w:vAlign w:val="center"/>
          </w:tcPr>
          <w:p w14:paraId="13457776">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单位</w:t>
            </w:r>
          </w:p>
        </w:tc>
        <w:tc>
          <w:tcPr>
            <w:tcW w:w="433" w:type="dxa"/>
            <w:shd w:val="clear" w:color="auto" w:fill="auto"/>
            <w:vAlign w:val="center"/>
          </w:tcPr>
          <w:p w14:paraId="7C133793">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数</w:t>
            </w:r>
          </w:p>
          <w:p w14:paraId="6A055B29">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量</w:t>
            </w:r>
          </w:p>
        </w:tc>
        <w:tc>
          <w:tcPr>
            <w:tcW w:w="1557" w:type="dxa"/>
            <w:shd w:val="clear" w:color="auto" w:fill="auto"/>
            <w:vAlign w:val="center"/>
          </w:tcPr>
          <w:p w14:paraId="5B59CA91">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安装地点</w:t>
            </w:r>
          </w:p>
          <w:p w14:paraId="790C9E0D">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 服务对象</w:t>
            </w:r>
          </w:p>
        </w:tc>
        <w:tc>
          <w:tcPr>
            <w:tcW w:w="967" w:type="dxa"/>
            <w:shd w:val="clear" w:color="auto" w:fill="auto"/>
            <w:vAlign w:val="center"/>
          </w:tcPr>
          <w:p w14:paraId="25889C19">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供货方式</w:t>
            </w:r>
          </w:p>
        </w:tc>
        <w:tc>
          <w:tcPr>
            <w:tcW w:w="2152" w:type="dxa"/>
            <w:shd w:val="clear" w:color="auto" w:fill="auto"/>
            <w:vAlign w:val="center"/>
          </w:tcPr>
          <w:p w14:paraId="5AB6AF05">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对应项目</w:t>
            </w:r>
          </w:p>
        </w:tc>
      </w:tr>
      <w:tr w14:paraId="52F1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shd w:val="clear" w:color="auto" w:fill="auto"/>
            <w:vAlign w:val="center"/>
          </w:tcPr>
          <w:p w14:paraId="4DAF717E">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sz w:val="21"/>
                <w:szCs w:val="21"/>
                <w:highlight w:val="none"/>
              </w:rPr>
            </w:pPr>
            <w:r>
              <w:rPr>
                <w:rFonts w:hint="eastAsia" w:ascii="仿宋" w:hAnsi="仿宋" w:eastAsia="仿宋" w:cs="仿宋"/>
                <w:color w:val="auto"/>
                <w:kern w:val="2"/>
                <w:sz w:val="21"/>
                <w:szCs w:val="21"/>
                <w:highlight w:val="none"/>
              </w:rPr>
              <w:t>1</w:t>
            </w:r>
          </w:p>
        </w:tc>
        <w:tc>
          <w:tcPr>
            <w:tcW w:w="1096" w:type="dxa"/>
            <w:shd w:val="clear" w:color="auto" w:fill="auto"/>
            <w:vAlign w:val="center"/>
          </w:tcPr>
          <w:p w14:paraId="6323CDE4">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柔性吊</w:t>
            </w:r>
          </w:p>
        </w:tc>
        <w:tc>
          <w:tcPr>
            <w:tcW w:w="844" w:type="dxa"/>
            <w:shd w:val="clear" w:color="auto" w:fill="auto"/>
            <w:vAlign w:val="center"/>
          </w:tcPr>
          <w:p w14:paraId="0881B1FB">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250kg</w:t>
            </w:r>
          </w:p>
        </w:tc>
        <w:tc>
          <w:tcPr>
            <w:tcW w:w="476" w:type="dxa"/>
            <w:shd w:val="clear" w:color="auto" w:fill="auto"/>
            <w:vAlign w:val="center"/>
          </w:tcPr>
          <w:p w14:paraId="229FEDF3">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套</w:t>
            </w:r>
          </w:p>
        </w:tc>
        <w:tc>
          <w:tcPr>
            <w:tcW w:w="433" w:type="dxa"/>
            <w:shd w:val="clear" w:color="auto" w:fill="auto"/>
            <w:vAlign w:val="center"/>
          </w:tcPr>
          <w:p w14:paraId="6EDC4F1C">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10</w:t>
            </w:r>
          </w:p>
        </w:tc>
        <w:tc>
          <w:tcPr>
            <w:tcW w:w="1557" w:type="dxa"/>
            <w:shd w:val="clear" w:color="auto" w:fill="auto"/>
            <w:vAlign w:val="center"/>
          </w:tcPr>
          <w:p w14:paraId="4122BF70">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lang w:val="en-US" w:eastAsia="zh-CN"/>
              </w:rPr>
              <w:t>主减速器</w:t>
            </w:r>
            <w:r>
              <w:rPr>
                <w:rFonts w:hint="eastAsia" w:ascii="仿宋" w:hAnsi="仿宋" w:eastAsia="仿宋" w:cs="仿宋"/>
                <w:color w:val="auto"/>
                <w:kern w:val="2"/>
                <w:sz w:val="21"/>
                <w:szCs w:val="21"/>
                <w:highlight w:val="none"/>
              </w:rPr>
              <w:t>部</w:t>
            </w:r>
          </w:p>
        </w:tc>
        <w:tc>
          <w:tcPr>
            <w:tcW w:w="967" w:type="dxa"/>
            <w:shd w:val="clear" w:color="auto" w:fill="auto"/>
            <w:vAlign w:val="center"/>
          </w:tcPr>
          <w:p w14:paraId="1D989859">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交钥匙</w:t>
            </w:r>
          </w:p>
        </w:tc>
        <w:tc>
          <w:tcPr>
            <w:tcW w:w="2152" w:type="dxa"/>
            <w:vMerge w:val="restart"/>
            <w:shd w:val="clear" w:color="auto" w:fill="auto"/>
            <w:vAlign w:val="center"/>
          </w:tcPr>
          <w:p w14:paraId="32914E9C">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lang w:val="en-US" w:eastAsia="zh-CN"/>
              </w:rPr>
              <w:t>主减总成产能提升技改项目</w:t>
            </w:r>
          </w:p>
        </w:tc>
      </w:tr>
      <w:tr w14:paraId="271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shd w:val="clear" w:color="auto" w:fill="auto"/>
            <w:vAlign w:val="center"/>
          </w:tcPr>
          <w:p w14:paraId="6045FA85">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2</w:t>
            </w:r>
          </w:p>
        </w:tc>
        <w:tc>
          <w:tcPr>
            <w:tcW w:w="1096" w:type="dxa"/>
            <w:shd w:val="clear" w:color="auto" w:fill="auto"/>
            <w:vAlign w:val="center"/>
          </w:tcPr>
          <w:p w14:paraId="4C29FA89">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rPr>
              <w:t>柔性吊</w:t>
            </w:r>
          </w:p>
        </w:tc>
        <w:tc>
          <w:tcPr>
            <w:tcW w:w="844" w:type="dxa"/>
            <w:shd w:val="clear" w:color="auto" w:fill="auto"/>
            <w:vAlign w:val="center"/>
          </w:tcPr>
          <w:p w14:paraId="0DA47935">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500Kg</w:t>
            </w:r>
          </w:p>
        </w:tc>
        <w:tc>
          <w:tcPr>
            <w:tcW w:w="476" w:type="dxa"/>
            <w:shd w:val="clear" w:color="auto" w:fill="auto"/>
            <w:vAlign w:val="center"/>
          </w:tcPr>
          <w:p w14:paraId="179365DC">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套</w:t>
            </w:r>
          </w:p>
        </w:tc>
        <w:tc>
          <w:tcPr>
            <w:tcW w:w="433" w:type="dxa"/>
            <w:shd w:val="clear" w:color="auto" w:fill="auto"/>
            <w:vAlign w:val="center"/>
          </w:tcPr>
          <w:p w14:paraId="1C5FB010">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3</w:t>
            </w:r>
          </w:p>
        </w:tc>
        <w:tc>
          <w:tcPr>
            <w:tcW w:w="1557" w:type="dxa"/>
            <w:shd w:val="clear" w:color="auto" w:fill="auto"/>
            <w:vAlign w:val="center"/>
          </w:tcPr>
          <w:p w14:paraId="768533AD">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主减速器部</w:t>
            </w:r>
          </w:p>
        </w:tc>
        <w:tc>
          <w:tcPr>
            <w:tcW w:w="967" w:type="dxa"/>
            <w:shd w:val="clear" w:color="auto" w:fill="auto"/>
            <w:vAlign w:val="center"/>
          </w:tcPr>
          <w:p w14:paraId="331C50B0">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交钥匙</w:t>
            </w:r>
          </w:p>
        </w:tc>
        <w:tc>
          <w:tcPr>
            <w:tcW w:w="2152" w:type="dxa"/>
            <w:vMerge w:val="continue"/>
            <w:shd w:val="clear" w:color="auto" w:fill="auto"/>
            <w:vAlign w:val="center"/>
          </w:tcPr>
          <w:p w14:paraId="0792C7A4">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rPr>
            </w:pPr>
          </w:p>
        </w:tc>
      </w:tr>
      <w:tr w14:paraId="1C76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shd w:val="clear" w:color="auto" w:fill="auto"/>
            <w:vAlign w:val="center"/>
          </w:tcPr>
          <w:p w14:paraId="6206B600">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2"/>
                <w:sz w:val="21"/>
                <w:szCs w:val="21"/>
                <w:highlight w:val="none"/>
                <w:lang w:val="en-US" w:eastAsia="zh-CN"/>
              </w:rPr>
              <w:t>3</w:t>
            </w:r>
          </w:p>
        </w:tc>
        <w:tc>
          <w:tcPr>
            <w:tcW w:w="1096" w:type="dxa"/>
            <w:shd w:val="clear" w:color="auto" w:fill="auto"/>
            <w:vAlign w:val="center"/>
          </w:tcPr>
          <w:p w14:paraId="45F1739A">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rPr>
              <w:t>柔性吊</w:t>
            </w:r>
          </w:p>
        </w:tc>
        <w:tc>
          <w:tcPr>
            <w:tcW w:w="844" w:type="dxa"/>
            <w:shd w:val="clear" w:color="auto" w:fill="auto"/>
            <w:vAlign w:val="center"/>
          </w:tcPr>
          <w:p w14:paraId="691A9E0D">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rPr>
              <w:t>250kg</w:t>
            </w:r>
          </w:p>
        </w:tc>
        <w:tc>
          <w:tcPr>
            <w:tcW w:w="476" w:type="dxa"/>
            <w:shd w:val="clear" w:color="auto" w:fill="auto"/>
            <w:vAlign w:val="center"/>
          </w:tcPr>
          <w:p w14:paraId="0117B928">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rPr>
              <w:t>套</w:t>
            </w:r>
          </w:p>
        </w:tc>
        <w:tc>
          <w:tcPr>
            <w:tcW w:w="433" w:type="dxa"/>
            <w:shd w:val="clear" w:color="auto" w:fill="auto"/>
            <w:vAlign w:val="center"/>
          </w:tcPr>
          <w:p w14:paraId="4ADAC6DB">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rPr>
              <w:t>4</w:t>
            </w:r>
          </w:p>
        </w:tc>
        <w:tc>
          <w:tcPr>
            <w:tcW w:w="1557" w:type="dxa"/>
            <w:shd w:val="clear" w:color="auto" w:fill="auto"/>
            <w:vAlign w:val="center"/>
          </w:tcPr>
          <w:p w14:paraId="38B87F8C">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rPr>
              <w:t>零部件加工部</w:t>
            </w:r>
          </w:p>
        </w:tc>
        <w:tc>
          <w:tcPr>
            <w:tcW w:w="967" w:type="dxa"/>
            <w:shd w:val="clear" w:color="auto" w:fill="auto"/>
            <w:vAlign w:val="center"/>
          </w:tcPr>
          <w:p w14:paraId="3462E5C1">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rPr>
              <w:t>交钥匙</w:t>
            </w:r>
          </w:p>
        </w:tc>
        <w:tc>
          <w:tcPr>
            <w:tcW w:w="2152" w:type="dxa"/>
            <w:shd w:val="clear" w:color="auto" w:fill="auto"/>
            <w:vAlign w:val="center"/>
          </w:tcPr>
          <w:p w14:paraId="53076A4B">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轮毂总成装配产能提升技改项目</w:t>
            </w:r>
          </w:p>
        </w:tc>
      </w:tr>
      <w:tr w14:paraId="68E0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6" w:type="dxa"/>
            <w:shd w:val="clear" w:color="auto" w:fill="auto"/>
            <w:vAlign w:val="center"/>
          </w:tcPr>
          <w:p w14:paraId="5AFC1249">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4</w:t>
            </w:r>
          </w:p>
        </w:tc>
        <w:tc>
          <w:tcPr>
            <w:tcW w:w="1096" w:type="dxa"/>
            <w:shd w:val="clear" w:color="auto" w:fill="auto"/>
            <w:vAlign w:val="center"/>
          </w:tcPr>
          <w:p w14:paraId="763D43CB">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柔性吊</w:t>
            </w:r>
          </w:p>
        </w:tc>
        <w:tc>
          <w:tcPr>
            <w:tcW w:w="844" w:type="dxa"/>
            <w:shd w:val="clear" w:color="auto" w:fill="auto"/>
            <w:vAlign w:val="center"/>
          </w:tcPr>
          <w:p w14:paraId="1A7237A3">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1.5T</w:t>
            </w:r>
          </w:p>
        </w:tc>
        <w:tc>
          <w:tcPr>
            <w:tcW w:w="476" w:type="dxa"/>
            <w:shd w:val="clear" w:color="auto" w:fill="auto"/>
            <w:vAlign w:val="center"/>
          </w:tcPr>
          <w:p w14:paraId="7EEE94BE">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套</w:t>
            </w:r>
          </w:p>
        </w:tc>
        <w:tc>
          <w:tcPr>
            <w:tcW w:w="433" w:type="dxa"/>
            <w:shd w:val="clear" w:color="auto" w:fill="auto"/>
            <w:vAlign w:val="center"/>
          </w:tcPr>
          <w:p w14:paraId="28470EEC">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1</w:t>
            </w:r>
          </w:p>
        </w:tc>
        <w:tc>
          <w:tcPr>
            <w:tcW w:w="1557" w:type="dxa"/>
            <w:shd w:val="clear" w:color="auto" w:fill="auto"/>
            <w:vAlign w:val="center"/>
          </w:tcPr>
          <w:p w14:paraId="657251F9">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驱动桥部</w:t>
            </w:r>
          </w:p>
        </w:tc>
        <w:tc>
          <w:tcPr>
            <w:tcW w:w="967" w:type="dxa"/>
            <w:shd w:val="clear" w:color="auto" w:fill="auto"/>
            <w:vAlign w:val="center"/>
          </w:tcPr>
          <w:p w14:paraId="229D92E9">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交钥匙</w:t>
            </w:r>
          </w:p>
        </w:tc>
        <w:tc>
          <w:tcPr>
            <w:tcW w:w="2152" w:type="dxa"/>
            <w:shd w:val="clear" w:color="auto" w:fill="auto"/>
            <w:vAlign w:val="center"/>
          </w:tcPr>
          <w:p w14:paraId="3B97A1C1">
            <w:pPr>
              <w:pStyle w:val="16"/>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lang w:val="en-US" w:eastAsia="zh-CN"/>
              </w:rPr>
              <w:t>电驱桥总成齿轮油定量加注技改项目</w:t>
            </w:r>
          </w:p>
        </w:tc>
      </w:tr>
    </w:tbl>
    <w:p w14:paraId="1537F8DA">
      <w:pPr>
        <w:pStyle w:val="16"/>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备注：①本表所列采购货物仅为货物的主要构成部分，应配套供货以及招标方所列其它货物（或设备）和服务，请投标方认真阅读“供货范围”。若有异议，不管是多么微小，都应在投标文件“商务偏离”章节中予以详细说明。②本表“供货方式”指：交钥匙方式——包括制造、运输、定点卸货、安装、调试和验收以及培训等。</w:t>
      </w:r>
    </w:p>
    <w:p w14:paraId="7E714EA0">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02811D64">
      <w:pPr>
        <w:jc w:val="center"/>
        <w:outlineLvl w:val="0"/>
        <w:rPr>
          <w:rFonts w:ascii="仿宋" w:hAnsi="仿宋" w:eastAsia="仿宋" w:cs="仿宋"/>
          <w:b/>
          <w:bCs/>
          <w:color w:val="000000" w:themeColor="text1"/>
          <w14:textFill>
            <w14:solidFill>
              <w14:schemeClr w14:val="tx1"/>
            </w14:solidFill>
          </w14:textFill>
        </w:rPr>
      </w:pPr>
      <w:bookmarkStart w:id="161" w:name="_Toc11605"/>
      <w:bookmarkStart w:id="162" w:name="_Toc19793"/>
      <w:bookmarkStart w:id="163" w:name="_Toc7739"/>
      <w:bookmarkStart w:id="164" w:name="_Toc442"/>
      <w:bookmarkStart w:id="165" w:name="_Toc30487"/>
      <w:bookmarkStart w:id="166" w:name="_Toc7805"/>
      <w:bookmarkStart w:id="167" w:name="_Toc30429"/>
      <w:bookmarkStart w:id="168" w:name="_Toc27638"/>
      <w:bookmarkStart w:id="169" w:name="_Toc22658"/>
      <w:bookmarkStart w:id="170" w:name="_Toc2875"/>
      <w:bookmarkStart w:id="171" w:name="_Toc24992"/>
      <w:bookmarkStart w:id="172" w:name="_Toc4743"/>
      <w:bookmarkStart w:id="173" w:name="_Toc7813"/>
      <w:bookmarkStart w:id="174" w:name="_Toc761"/>
      <w:bookmarkStart w:id="175" w:name="_Toc32524"/>
      <w:bookmarkStart w:id="176" w:name="_Toc7338"/>
      <w:bookmarkStart w:id="177" w:name="_Toc17465"/>
      <w:bookmarkStart w:id="178" w:name="_Toc2018"/>
      <w:bookmarkStart w:id="179" w:name="_Toc32616"/>
      <w:bookmarkStart w:id="180" w:name="_Toc6687"/>
      <w:bookmarkStart w:id="181" w:name="_Toc498"/>
      <w:bookmarkStart w:id="182" w:name="_Toc25811"/>
      <w:bookmarkStart w:id="183" w:name="_Toc18970"/>
      <w:bookmarkStart w:id="184" w:name="_Toc13878"/>
      <w:bookmarkStart w:id="185" w:name="_Toc1621"/>
      <w:bookmarkStart w:id="186" w:name="_Toc31734"/>
      <w:bookmarkStart w:id="187" w:name="_Toc28168"/>
      <w:bookmarkStart w:id="188" w:name="_Toc23603"/>
      <w:bookmarkStart w:id="189" w:name="_Toc24597"/>
      <w:bookmarkStart w:id="190" w:name="_Toc20034"/>
      <w:bookmarkStart w:id="191" w:name="_Toc12377"/>
      <w:bookmarkStart w:id="192" w:name="_Toc22689"/>
      <w:bookmarkStart w:id="193" w:name="_Toc26470"/>
      <w:bookmarkStart w:id="194" w:name="_Toc19015"/>
      <w:bookmarkStart w:id="195" w:name="_Toc4488"/>
      <w:bookmarkStart w:id="196" w:name="_Toc8780"/>
      <w:bookmarkStart w:id="197" w:name="_Toc15180"/>
      <w:bookmarkStart w:id="198" w:name="_Toc16387"/>
      <w:bookmarkStart w:id="199" w:name="_Toc10580"/>
      <w:bookmarkStart w:id="200" w:name="_Toc133783969"/>
      <w:bookmarkStart w:id="201" w:name="_Toc73112399"/>
      <w:bookmarkStart w:id="202" w:name="_Toc18120"/>
      <w:bookmarkStart w:id="203" w:name="_Toc8565"/>
      <w:bookmarkStart w:id="204" w:name="_Toc29174"/>
      <w:bookmarkStart w:id="205" w:name="_Toc4881"/>
      <w:bookmarkStart w:id="206" w:name="_Toc26149"/>
      <w:bookmarkStart w:id="207" w:name="_Toc10441"/>
      <w:r>
        <w:rPr>
          <w:rFonts w:hint="eastAsia" w:ascii="仿宋" w:hAnsi="仿宋" w:eastAsia="仿宋" w:cs="仿宋"/>
          <w:b/>
          <w:bCs/>
          <w:color w:val="000000" w:themeColor="text1"/>
          <w14:textFill>
            <w14:solidFill>
              <w14:schemeClr w14:val="tx1"/>
            </w14:solidFill>
          </w14:textFill>
        </w:rPr>
        <w:t>第二章技术要求</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5E94230D">
      <w:pPr>
        <w:snapToGrid w:val="0"/>
        <w:spacing w:line="360" w:lineRule="auto"/>
        <w:ind w:firstLine="422" w:firstLineChars="200"/>
        <w:outlineLvl w:val="1"/>
        <w:rPr>
          <w:rFonts w:ascii="仿宋" w:hAnsi="仿宋" w:eastAsia="仿宋" w:cs="仿宋"/>
          <w:b/>
          <w:bCs/>
          <w:color w:val="000000" w:themeColor="text1"/>
          <w14:textFill>
            <w14:solidFill>
              <w14:schemeClr w14:val="tx1"/>
            </w14:solidFill>
          </w14:textFill>
        </w:rPr>
      </w:pPr>
      <w:bookmarkStart w:id="208" w:name="_Toc20402"/>
      <w:bookmarkStart w:id="209" w:name="_Toc31434"/>
      <w:bookmarkStart w:id="210" w:name="_Toc18792"/>
      <w:bookmarkStart w:id="211" w:name="_Toc31691"/>
      <w:bookmarkStart w:id="212" w:name="_Toc21559"/>
      <w:bookmarkStart w:id="213" w:name="_Toc15747"/>
      <w:bookmarkStart w:id="214" w:name="_Toc5714"/>
      <w:bookmarkStart w:id="215" w:name="_Toc5469"/>
      <w:bookmarkStart w:id="216" w:name="_Toc31246"/>
      <w:bookmarkStart w:id="217" w:name="_Toc5876"/>
      <w:bookmarkStart w:id="218" w:name="_Toc7141"/>
      <w:bookmarkStart w:id="219" w:name="_Toc6003"/>
      <w:bookmarkStart w:id="220" w:name="_Toc16822"/>
      <w:bookmarkStart w:id="221" w:name="_Toc29489"/>
      <w:bookmarkStart w:id="222" w:name="_Toc4126"/>
      <w:bookmarkStart w:id="223" w:name="_Toc16063"/>
      <w:bookmarkStart w:id="224" w:name="_Toc27282"/>
      <w:bookmarkStart w:id="225" w:name="_Toc39"/>
      <w:bookmarkStart w:id="226" w:name="_Toc73112400"/>
      <w:bookmarkStart w:id="227" w:name="_Toc13195"/>
      <w:bookmarkStart w:id="228" w:name="_Toc1111"/>
      <w:bookmarkStart w:id="229" w:name="_Toc11056"/>
      <w:bookmarkStart w:id="230" w:name="_Toc477"/>
      <w:bookmarkStart w:id="231" w:name="_Toc26827"/>
      <w:bookmarkStart w:id="232" w:name="_Toc2473"/>
      <w:bookmarkStart w:id="233" w:name="_Toc25950"/>
      <w:bookmarkStart w:id="234" w:name="_Toc15744"/>
      <w:bookmarkStart w:id="235" w:name="_Toc23050"/>
      <w:bookmarkStart w:id="236" w:name="_Toc29354"/>
      <w:bookmarkStart w:id="237" w:name="_Toc17019"/>
      <w:bookmarkStart w:id="238" w:name="_Toc15995"/>
      <w:bookmarkStart w:id="239" w:name="_Toc5804"/>
      <w:bookmarkStart w:id="240" w:name="_Toc20792"/>
      <w:bookmarkStart w:id="241" w:name="_Toc380"/>
      <w:bookmarkStart w:id="242" w:name="_Toc28751"/>
      <w:bookmarkStart w:id="243" w:name="_Toc11621"/>
      <w:bookmarkStart w:id="244" w:name="_Toc5110"/>
      <w:bookmarkStart w:id="245" w:name="_Toc9134"/>
      <w:bookmarkStart w:id="246" w:name="_Toc1968"/>
      <w:bookmarkStart w:id="247" w:name="_Toc27930"/>
      <w:bookmarkStart w:id="248" w:name="_Toc23337"/>
      <w:bookmarkStart w:id="249" w:name="_Toc5450"/>
      <w:bookmarkStart w:id="250" w:name="_Toc22422"/>
      <w:bookmarkStart w:id="251" w:name="_Toc9894"/>
      <w:r>
        <w:rPr>
          <w:rFonts w:hint="eastAsia" w:ascii="仿宋" w:hAnsi="仿宋" w:eastAsia="仿宋" w:cs="仿宋"/>
          <w:b/>
          <w:bCs/>
          <w:color w:val="000000" w:themeColor="text1"/>
          <w14:textFill>
            <w14:solidFill>
              <w14:schemeClr w14:val="tx1"/>
            </w14:solidFill>
          </w14:textFill>
        </w:rPr>
        <w:t>1基本要求</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3ACDC185">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1.1投标方所供的货物，必须符合中国最新版的法律、法规和相关标准、规范的要求，符合项目所在地政府有关特殊要求。</w:t>
      </w:r>
    </w:p>
    <w:p w14:paraId="0AB172B5">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1.2投标方所供货物涉及的、招标方有权使用的专利权技术以及知识产权保护的其它技术等，应保证招标方不因此受到任何侵权指控以及实际损失。</w:t>
      </w:r>
    </w:p>
    <w:p w14:paraId="4CA53042">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1.3投标方应保证所供货物的先进性、可靠性、经济性和实用性，并为全新货物（或设备）。</w:t>
      </w:r>
    </w:p>
    <w:p w14:paraId="1DDA84F5">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 投标方应满足招标方提出的各项技术要求，必要时应当免费提供技术承诺或担保。</w:t>
      </w:r>
    </w:p>
    <w:p w14:paraId="4E93216A">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★1.5投标方应保证所供货物为中国公布的非淘汰货物，并为中国指定或规定的主管部门认可的环保型和节能型货物；招标的中标货物不接受试验品（提供证据），还应是原产地的货物。</w:t>
      </w:r>
    </w:p>
    <w:p w14:paraId="60CEB679">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1.6投标方保证所供货物的完整性和成套性，能保证货物的正常运行、使用。</w:t>
      </w:r>
    </w:p>
    <w:p w14:paraId="755490C9">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1.7投标方对招标方招标货物所涉及的技术、能力等信息负有保密义务，特殊项目应当无条件签署保密协议。</w:t>
      </w:r>
    </w:p>
    <w:p w14:paraId="2A257D75">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投标方应保证所供货物，必须符合《机械制造企业安全生产标准化》各项要求。确保货物在使用管理过程中满足《职业健康安全管理体系》、《环境管理体系》等方面的规范及国家标准要求；必须提供所供货物相应的安全操作规程。</w:t>
      </w:r>
    </w:p>
    <w:p w14:paraId="1C6339CD">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1.9设备用能设计基本要求：</w:t>
      </w:r>
    </w:p>
    <w:p w14:paraId="3106C2A0">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1.9.1 任何用能设备均应遵循《能源管理体系要求》（GB/T23331-2012）的相关规定，并在《能源管理体系要求》下开展设备的采购、维护、保养、淘汰更换等工作。</w:t>
      </w:r>
    </w:p>
    <w:p w14:paraId="5927D76E">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1.9.2 为方便用能设备的计量统计，新增采购设备应在《用能单位能源计量器具配备和管理通则》（GB17167-2006）指导下配备符合相应要求的能源计量器具。</w:t>
      </w:r>
    </w:p>
    <w:p w14:paraId="4E2585C6">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1.9.3 供方应确保各类机电设备（产品）无《高耗能机电设备（产品）淘汰目录（第一批）》、《高耗能机电设备（产品）淘汰目录（第二 批）》、《高耗能机电设备（产品）淘汰目录（第三批）》所罗列的各类淘汰机电设备（产品）。</w:t>
      </w:r>
    </w:p>
    <w:p w14:paraId="397C874E">
      <w:pPr>
        <w:widowControl w:val="0"/>
        <w:snapToGrid w:val="0"/>
        <w:spacing w:line="360" w:lineRule="auto"/>
        <w:ind w:firstLine="420" w:firstLineChars="20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1.9.4 </w:t>
      </w:r>
      <w:r>
        <w:rPr>
          <w:rFonts w:hint="eastAsia" w:ascii="仿宋" w:hAnsi="仿宋" w:eastAsia="仿宋" w:cs="仿宋"/>
          <w:kern w:val="0"/>
          <w:sz w:val="24"/>
          <w:szCs w:val="24"/>
          <w:highlight w:val="none"/>
          <w:lang w:val="en-US" w:eastAsia="zh-CN" w:bidi="ar-SA"/>
        </w:rPr>
        <w:t>在各类机电设备（产品）的采购过程中应优先选用符合《节能机电设备（产品）推荐目录（第七批）》的机电设备（产品）。原则上，电机功率≥7.5kW，必须选用一级能效。电机功率&lt;7.5kw，优先选用一级能效;其中对于能源供应类设备及年运行时间≥2000h 工艺设备的电机必须选用一级能效。杜绝选用三级及以下能效。空调必须选用一级能效，变压器最低选用二级能效，对于特殊场景、特殊用途其他设备结合性价比综合考虑、充分论证。</w:t>
      </w:r>
    </w:p>
    <w:p w14:paraId="41B16967">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1.9.5 供方应确保设备的附属各类机电设备、设施（如：电机、风机、电器控制系统、润滑、保温隔热、照明、湿度等等）符合国家现行的相关专项标准要求。</w:t>
      </w:r>
    </w:p>
    <w:p w14:paraId="3DE687F1">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★1.10设备使用仪表和自控设备要求：</w:t>
      </w:r>
    </w:p>
    <w:p w14:paraId="67E0B1D4">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1.10.1设备使用仪表通用技术要求:</w:t>
      </w:r>
    </w:p>
    <w:p w14:paraId="207F3E71">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1.10.1.1投标人及供货商应保证所提供的仪表和自控设备，完全符合或高于本文通用技术要求及相应产品技术规范的要求，并应保证其供应产品在本工程指明的环境条件下能够长期安全、正常地运行。 </w:t>
      </w:r>
    </w:p>
    <w:p w14:paraId="46AD3D86">
      <w:pPr>
        <w:widowControl w:val="0"/>
        <w:snapToGrid w:val="0"/>
        <w:spacing w:line="360" w:lineRule="auto"/>
        <w:ind w:firstLine="42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color w:val="000000" w:themeColor="text1"/>
          <w14:textFill>
            <w14:solidFill>
              <w14:schemeClr w14:val="tx1"/>
            </w14:solidFill>
          </w14:textFill>
        </w:rPr>
        <w:t>1.10.1.2</w:t>
      </w:r>
      <w:r>
        <w:rPr>
          <w:rFonts w:hint="eastAsia" w:ascii="仿宋" w:hAnsi="仿宋" w:eastAsia="仿宋" w:cs="仿宋"/>
          <w:kern w:val="0"/>
          <w:sz w:val="24"/>
          <w:szCs w:val="24"/>
          <w:highlight w:val="none"/>
          <w:lang w:val="en-US" w:eastAsia="zh-CN" w:bidi="ar-SA"/>
        </w:rPr>
        <w:t>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w:t>
      </w:r>
    </w:p>
    <w:p w14:paraId="638DC657">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1.10.1.3</w:t>
      </w:r>
      <w:r>
        <w:rPr>
          <w:rFonts w:hint="eastAsia" w:ascii="仿宋" w:hAnsi="仿宋" w:eastAsia="仿宋" w:cs="仿宋"/>
          <w:kern w:val="0"/>
          <w:sz w:val="24"/>
          <w:szCs w:val="24"/>
          <w:highlight w:val="none"/>
          <w:lang w:val="en-US" w:eastAsia="zh-CN" w:bidi="ar-SA"/>
        </w:rPr>
        <w:t>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r>
        <w:rPr>
          <w:rFonts w:hint="eastAsia" w:ascii="仿宋" w:hAnsi="仿宋" w:eastAsia="仿宋" w:cs="仿宋"/>
          <w:color w:val="000000" w:themeColor="text1"/>
          <w14:textFill>
            <w14:solidFill>
              <w14:schemeClr w14:val="tx1"/>
            </w14:solidFill>
          </w14:textFill>
        </w:rPr>
        <w:t> </w:t>
      </w:r>
    </w:p>
    <w:p w14:paraId="21DD06EE">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1.10.2准确度要求: </w:t>
      </w:r>
    </w:p>
    <w:p w14:paraId="2D38328A">
      <w:pPr>
        <w:widowControl w:val="0"/>
        <w:snapToGrid w:val="0"/>
        <w:spacing w:line="360" w:lineRule="auto"/>
        <w:ind w:firstLine="420" w:firstLineChars="20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1.10.2.1</w:t>
      </w:r>
      <w:r>
        <w:rPr>
          <w:rFonts w:hint="eastAsia" w:ascii="仿宋" w:hAnsi="仿宋" w:eastAsia="仿宋" w:cs="仿宋"/>
          <w:kern w:val="0"/>
          <w:sz w:val="24"/>
          <w:szCs w:val="24"/>
          <w:highlight w:val="none"/>
          <w:lang w:val="en-US" w:eastAsia="zh-CN" w:bidi="ar-SA"/>
        </w:rPr>
        <w:t>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3502FD91">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1.10.2.2仪表和自控设备的准确度应不受周围环境和安装位置的影响，任何生产过程中存在的正常振动，不应造成测量准确度的变化。仪表和自控设备的零点和重复性应非常稳定，并符合各专用技术规格书中的有关技术要求。 </w:t>
      </w:r>
    </w:p>
    <w:p w14:paraId="1B4608BF">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1.10.3材质要求: </w:t>
      </w:r>
    </w:p>
    <w:p w14:paraId="7827F6EC">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及供货商应保证所提供的仪表和自控设备在材料的使用方面无任何设计问题，能够满足或高于实际操作和使用过程中的要求，如压力、温度、粘度、组份等的要求。应保证所有零部件的材质必须符合环境条件如湿度、温度以及防爆的要求。</w:t>
      </w:r>
    </w:p>
    <w:p w14:paraId="504B602B">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★1.11投标方所供设备应按“交钥匙工程”要求。</w:t>
      </w:r>
    </w:p>
    <w:p w14:paraId="1F75EC7E">
      <w:pPr>
        <w:snapToGrid w:val="0"/>
        <w:spacing w:line="360" w:lineRule="auto"/>
        <w:ind w:firstLine="422" w:firstLineChars="200"/>
        <w:outlineLvl w:val="1"/>
        <w:rPr>
          <w:rFonts w:ascii="仿宋" w:hAnsi="仿宋" w:eastAsia="仿宋" w:cs="仿宋"/>
          <w:b/>
          <w:bCs/>
          <w:color w:val="000000" w:themeColor="text1"/>
          <w14:textFill>
            <w14:solidFill>
              <w14:schemeClr w14:val="tx1"/>
            </w14:solidFill>
          </w14:textFill>
        </w:rPr>
      </w:pPr>
      <w:bookmarkStart w:id="252" w:name="_Toc6699"/>
      <w:bookmarkStart w:id="253" w:name="_Toc718"/>
      <w:bookmarkStart w:id="254" w:name="_Toc18994"/>
      <w:bookmarkStart w:id="255" w:name="_Hlk69924518"/>
      <w:r>
        <w:rPr>
          <w:rFonts w:hint="eastAsia" w:ascii="仿宋" w:hAnsi="仿宋" w:eastAsia="仿宋" w:cs="仿宋"/>
          <w:b/>
          <w:bCs/>
          <w:color w:val="000000" w:themeColor="text1"/>
          <w14:textFill>
            <w14:solidFill>
              <w14:schemeClr w14:val="tx1"/>
            </w14:solidFill>
          </w14:textFill>
        </w:rPr>
        <w:t>2 执行标准</w:t>
      </w:r>
      <w:bookmarkEnd w:id="252"/>
      <w:bookmarkEnd w:id="253"/>
      <w:bookmarkEnd w:id="254"/>
    </w:p>
    <w:bookmarkEnd w:id="255"/>
    <w:p w14:paraId="4214FE2B">
      <w:pPr>
        <w:spacing w:line="48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bidi="ar"/>
          <w14:textFill>
            <w14:solidFill>
              <w14:schemeClr w14:val="tx1"/>
            </w14:solidFill>
          </w14:textFill>
        </w:rPr>
        <w:t>2.1 招标方此处所列标准仅为涉及的主要标准，而且不保证其为最新版执行标准；投标方应当在投标文件中予以补充和完善。</w:t>
      </w:r>
    </w:p>
    <w:p w14:paraId="55E6EEF1">
      <w:pPr>
        <w:spacing w:line="48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bidi="ar"/>
          <w14:textFill>
            <w14:solidFill>
              <w14:schemeClr w14:val="tx1"/>
            </w14:solidFill>
          </w14:textFill>
        </w:rPr>
        <w:t>2.2 投标方需要执行的标准，应当以所供设备通过招标方将来组织的最终验收之日后需要执行的标准。</w:t>
      </w:r>
    </w:p>
    <w:p w14:paraId="1A536955">
      <w:pPr>
        <w:spacing w:line="480" w:lineRule="exact"/>
        <w:ind w:firstLine="420" w:firstLineChars="200"/>
        <w:rPr>
          <w:rFonts w:hint="eastAsia" w:ascii="仿宋" w:hAnsi="仿宋" w:eastAsia="仿宋" w:cs="仿宋"/>
          <w:color w:val="000000" w:themeColor="text1"/>
          <w:lang w:bidi="ar"/>
          <w14:textFill>
            <w14:solidFill>
              <w14:schemeClr w14:val="tx1"/>
            </w14:solidFill>
          </w14:textFill>
        </w:rPr>
      </w:pPr>
      <w:r>
        <w:rPr>
          <w:rFonts w:hint="eastAsia" w:ascii="仿宋" w:hAnsi="仿宋" w:eastAsia="仿宋" w:cs="仿宋"/>
          <w:color w:val="000000" w:themeColor="text1"/>
          <w:lang w:bidi="ar"/>
          <w14:textFill>
            <w14:solidFill>
              <w14:schemeClr w14:val="tx1"/>
            </w14:solidFill>
          </w14:textFill>
        </w:rPr>
        <w:t>2.3 涉及的主要标准表（包含但不限于）</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4984"/>
        <w:gridCol w:w="2116"/>
        <w:gridCol w:w="670"/>
      </w:tblGrid>
      <w:tr w14:paraId="5231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9ACDEC6">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序号</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340F32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标准名称</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A9C707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标准编号</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14:paraId="5EAA151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备注</w:t>
            </w:r>
          </w:p>
        </w:tc>
      </w:tr>
      <w:tr w14:paraId="6E8B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8CA1DB6">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57852A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电工成套装置中的导线颜色</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3FA154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GB/T2681-81</w:t>
            </w:r>
          </w:p>
        </w:tc>
        <w:tc>
          <w:tcPr>
            <w:tcW w:w="670" w:type="dxa"/>
            <w:vMerge w:val="restart"/>
            <w:tcBorders>
              <w:top w:val="single" w:color="auto" w:sz="4" w:space="0"/>
              <w:left w:val="single" w:color="auto" w:sz="4" w:space="0"/>
              <w:right w:val="single" w:color="auto" w:sz="4" w:space="0"/>
            </w:tcBorders>
            <w:shd w:val="clear" w:color="auto" w:fill="auto"/>
            <w:vAlign w:val="center"/>
          </w:tcPr>
          <w:p w14:paraId="05CC92F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color w:val="FF0000"/>
                <w:sz w:val="21"/>
                <w:szCs w:val="21"/>
                <w:highlight w:val="none"/>
              </w:rPr>
            </w:pPr>
          </w:p>
        </w:tc>
      </w:tr>
      <w:tr w14:paraId="46635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7351D1E">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07E034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电工成套装置中的指示灯和按钮的颜色</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FB84FB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GB/T2682-81</w:t>
            </w:r>
          </w:p>
        </w:tc>
        <w:tc>
          <w:tcPr>
            <w:tcW w:w="670" w:type="dxa"/>
            <w:vMerge w:val="continue"/>
            <w:tcBorders>
              <w:left w:val="single" w:color="auto" w:sz="4" w:space="0"/>
              <w:right w:val="single" w:color="auto" w:sz="4" w:space="0"/>
            </w:tcBorders>
            <w:shd w:val="clear" w:color="auto" w:fill="auto"/>
            <w:vAlign w:val="center"/>
          </w:tcPr>
          <w:p w14:paraId="68C0B54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13A7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501BD36">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D92D99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电能质量公用电网谐波</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05E5A449">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GB/T14549-93</w:t>
            </w:r>
          </w:p>
        </w:tc>
        <w:tc>
          <w:tcPr>
            <w:tcW w:w="670" w:type="dxa"/>
            <w:vMerge w:val="continue"/>
            <w:tcBorders>
              <w:left w:val="single" w:color="auto" w:sz="4" w:space="0"/>
              <w:right w:val="single" w:color="auto" w:sz="4" w:space="0"/>
            </w:tcBorders>
            <w:shd w:val="clear" w:color="auto" w:fill="auto"/>
            <w:vAlign w:val="center"/>
          </w:tcPr>
          <w:p w14:paraId="5672ABF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68FFA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71299AD">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383129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防止上下肢触及危险区的安全距离</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1723848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GB/T23821-2022</w:t>
            </w:r>
          </w:p>
        </w:tc>
        <w:tc>
          <w:tcPr>
            <w:tcW w:w="670" w:type="dxa"/>
            <w:vMerge w:val="continue"/>
            <w:tcBorders>
              <w:left w:val="single" w:color="auto" w:sz="4" w:space="0"/>
              <w:right w:val="single" w:color="auto" w:sz="4" w:space="0"/>
            </w:tcBorders>
            <w:shd w:val="clear" w:color="auto" w:fill="auto"/>
            <w:vAlign w:val="center"/>
          </w:tcPr>
          <w:p w14:paraId="4F29093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3F2B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768C981">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1A5887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双手操纵装置 设计和选择原则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BC0564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GB/T19671-2022</w:t>
            </w:r>
          </w:p>
        </w:tc>
        <w:tc>
          <w:tcPr>
            <w:tcW w:w="670" w:type="dxa"/>
            <w:vMerge w:val="continue"/>
            <w:tcBorders>
              <w:left w:val="single" w:color="auto" w:sz="4" w:space="0"/>
              <w:right w:val="single" w:color="auto" w:sz="4" w:space="0"/>
            </w:tcBorders>
            <w:shd w:val="clear" w:color="auto" w:fill="auto"/>
            <w:vAlign w:val="center"/>
          </w:tcPr>
          <w:p w14:paraId="438B34D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9B3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FB74D59">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6DD0159">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安全防护的实施准则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D4981A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GB/T30574-2021</w:t>
            </w:r>
          </w:p>
        </w:tc>
        <w:tc>
          <w:tcPr>
            <w:tcW w:w="670" w:type="dxa"/>
            <w:vMerge w:val="continue"/>
            <w:tcBorders>
              <w:left w:val="single" w:color="auto" w:sz="4" w:space="0"/>
              <w:right w:val="single" w:color="auto" w:sz="4" w:space="0"/>
            </w:tcBorders>
            <w:shd w:val="clear" w:color="auto" w:fill="auto"/>
            <w:vAlign w:val="center"/>
          </w:tcPr>
          <w:p w14:paraId="736602C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CF4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AEE1EEC">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7C1638B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接近机械的固定设施 </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1916F1A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17888-2020</w:t>
            </w:r>
          </w:p>
        </w:tc>
        <w:tc>
          <w:tcPr>
            <w:tcW w:w="670" w:type="dxa"/>
            <w:vMerge w:val="continue"/>
            <w:tcBorders>
              <w:left w:val="single" w:color="auto" w:sz="4" w:space="0"/>
              <w:right w:val="single" w:color="auto" w:sz="4" w:space="0"/>
            </w:tcBorders>
            <w:shd w:val="clear" w:color="auto" w:fill="auto"/>
            <w:vAlign w:val="center"/>
          </w:tcPr>
          <w:p w14:paraId="64FC5CC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0332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6B84DB8">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7F82569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《工业企业设计卫生标准》</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06BF4A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GBZ 1-2002</w:t>
            </w:r>
          </w:p>
        </w:tc>
        <w:tc>
          <w:tcPr>
            <w:tcW w:w="670" w:type="dxa"/>
            <w:vMerge w:val="continue"/>
            <w:tcBorders>
              <w:left w:val="single" w:color="auto" w:sz="4" w:space="0"/>
              <w:right w:val="single" w:color="auto" w:sz="4" w:space="0"/>
            </w:tcBorders>
            <w:shd w:val="clear" w:color="auto" w:fill="auto"/>
            <w:vAlign w:val="center"/>
          </w:tcPr>
          <w:p w14:paraId="3F0CF1E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52B1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038D215">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4016456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《工业企业噪声控制设计规范》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1CAB9C7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GB/T50087-2013</w:t>
            </w:r>
          </w:p>
        </w:tc>
        <w:tc>
          <w:tcPr>
            <w:tcW w:w="670" w:type="dxa"/>
            <w:vMerge w:val="continue"/>
            <w:tcBorders>
              <w:left w:val="single" w:color="auto" w:sz="4" w:space="0"/>
              <w:right w:val="single" w:color="auto" w:sz="4" w:space="0"/>
            </w:tcBorders>
            <w:shd w:val="clear" w:color="auto" w:fill="auto"/>
            <w:vAlign w:val="center"/>
          </w:tcPr>
          <w:p w14:paraId="410452A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3B31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BBEC78D">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5BEC021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《工业企业噪声测量规范》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4C21AF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GBJ122-88</w:t>
            </w:r>
          </w:p>
        </w:tc>
        <w:tc>
          <w:tcPr>
            <w:tcW w:w="670" w:type="dxa"/>
            <w:vMerge w:val="continue"/>
            <w:tcBorders>
              <w:left w:val="single" w:color="auto" w:sz="4" w:space="0"/>
              <w:right w:val="single" w:color="auto" w:sz="4" w:space="0"/>
            </w:tcBorders>
            <w:shd w:val="clear" w:color="auto" w:fill="auto"/>
            <w:vAlign w:val="center"/>
          </w:tcPr>
          <w:p w14:paraId="62DD2D3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13DA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8BE43B5">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22075AE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工作场所物理因素测量</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A74FDA9">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GBZ/T189.1-2007</w:t>
            </w:r>
          </w:p>
        </w:tc>
        <w:tc>
          <w:tcPr>
            <w:tcW w:w="670" w:type="dxa"/>
            <w:vMerge w:val="continue"/>
            <w:tcBorders>
              <w:left w:val="single" w:color="auto" w:sz="4" w:space="0"/>
              <w:right w:val="single" w:color="auto" w:sz="4" w:space="0"/>
            </w:tcBorders>
            <w:shd w:val="clear" w:color="auto" w:fill="auto"/>
            <w:vAlign w:val="center"/>
          </w:tcPr>
          <w:p w14:paraId="62E0127D">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47002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49B4B6A">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2BFE7AF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高耗能落后机电设备（产品）淘汰目录（第二批）</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7B06EE3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14:paraId="6257714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710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430C6AF">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DA9EE1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高耗能落后机电设备（产品）淘汰目录（第三批）</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6E5AA6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14:paraId="1B05A1F9">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E366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638324D">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2DFE5CD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高耗能落后机电设备（产品）淘汰目录（第一批）</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68F8FD9">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14:paraId="36F7611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51F8A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3B10B86">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4E415CDD">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高耗能落后机电设备（产品）淘汰目录（第四批）</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680495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14:paraId="692B974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1F98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A3FA519">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14DC9B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节能机电设备（产品）推荐目录</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05026109">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14:paraId="2A245AB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244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AAB0D64">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44106D7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用能单位能源计量器具配备和管理</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D95E169">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GB17167-2006</w:t>
            </w:r>
          </w:p>
        </w:tc>
        <w:tc>
          <w:tcPr>
            <w:tcW w:w="670" w:type="dxa"/>
            <w:vMerge w:val="continue"/>
            <w:tcBorders>
              <w:left w:val="single" w:color="auto" w:sz="4" w:space="0"/>
              <w:right w:val="single" w:color="auto" w:sz="4" w:space="0"/>
            </w:tcBorders>
            <w:shd w:val="clear" w:color="auto" w:fill="auto"/>
            <w:vAlign w:val="center"/>
          </w:tcPr>
          <w:p w14:paraId="3AC9C16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422F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9CD013B">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5180E26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《工作场所物理因素测量》第8部分噪声</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965ADD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GBZ/T189.8-2007</w:t>
            </w:r>
          </w:p>
        </w:tc>
        <w:tc>
          <w:tcPr>
            <w:tcW w:w="670" w:type="dxa"/>
            <w:vMerge w:val="continue"/>
            <w:tcBorders>
              <w:left w:val="single" w:color="auto" w:sz="4" w:space="0"/>
              <w:right w:val="single" w:color="auto" w:sz="4" w:space="0"/>
            </w:tcBorders>
            <w:shd w:val="clear" w:color="auto" w:fill="auto"/>
            <w:vAlign w:val="center"/>
          </w:tcPr>
          <w:p w14:paraId="327E351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841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2E112B7">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2B95B2C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钢结构防火涂料通用技术条件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15D1EC3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GB/T14907-94</w:t>
            </w:r>
          </w:p>
        </w:tc>
        <w:tc>
          <w:tcPr>
            <w:tcW w:w="670" w:type="dxa"/>
            <w:vMerge w:val="continue"/>
            <w:tcBorders>
              <w:left w:val="single" w:color="auto" w:sz="4" w:space="0"/>
              <w:right w:val="single" w:color="auto" w:sz="4" w:space="0"/>
            </w:tcBorders>
            <w:shd w:val="clear" w:color="auto" w:fill="auto"/>
            <w:vAlign w:val="center"/>
          </w:tcPr>
          <w:p w14:paraId="4DE7400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3293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8705F78">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5E838F2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建筑机械与设备涂装通用技术条件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48BADC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GB/T5011.12-92</w:t>
            </w:r>
          </w:p>
        </w:tc>
        <w:tc>
          <w:tcPr>
            <w:tcW w:w="670" w:type="dxa"/>
            <w:vMerge w:val="continue"/>
            <w:tcBorders>
              <w:left w:val="single" w:color="auto" w:sz="4" w:space="0"/>
              <w:right w:val="single" w:color="auto" w:sz="4" w:space="0"/>
            </w:tcBorders>
            <w:shd w:val="clear" w:color="auto" w:fill="auto"/>
            <w:vAlign w:val="center"/>
          </w:tcPr>
          <w:p w14:paraId="3474D22D">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624BE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4372C88">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58DB9AE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接近机械的固定设施</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173ABC3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17888-2020</w:t>
            </w:r>
          </w:p>
        </w:tc>
        <w:tc>
          <w:tcPr>
            <w:tcW w:w="670" w:type="dxa"/>
            <w:vMerge w:val="continue"/>
            <w:tcBorders>
              <w:left w:val="single" w:color="auto" w:sz="4" w:space="0"/>
              <w:right w:val="single" w:color="auto" w:sz="4" w:space="0"/>
            </w:tcBorders>
            <w:shd w:val="clear" w:color="auto" w:fill="auto"/>
            <w:vAlign w:val="center"/>
          </w:tcPr>
          <w:p w14:paraId="447F6C7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56E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1D66DA2">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13F5B6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环链电动葫芦技术条件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C593C4D">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JB/T5317.2-1991</w:t>
            </w:r>
          </w:p>
        </w:tc>
        <w:tc>
          <w:tcPr>
            <w:tcW w:w="670" w:type="dxa"/>
            <w:vMerge w:val="continue"/>
            <w:tcBorders>
              <w:left w:val="single" w:color="auto" w:sz="4" w:space="0"/>
              <w:right w:val="single" w:color="auto" w:sz="4" w:space="0"/>
            </w:tcBorders>
            <w:shd w:val="clear" w:color="auto" w:fill="auto"/>
            <w:vAlign w:val="center"/>
          </w:tcPr>
          <w:p w14:paraId="464FC18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6A04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809EC84">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CA60C1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柔性组合式悬挂起重机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84AB8B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JB/T 10381-2002</w:t>
            </w:r>
          </w:p>
        </w:tc>
        <w:tc>
          <w:tcPr>
            <w:tcW w:w="670" w:type="dxa"/>
            <w:vMerge w:val="continue"/>
            <w:tcBorders>
              <w:left w:val="single" w:color="auto" w:sz="4" w:space="0"/>
              <w:right w:val="single" w:color="auto" w:sz="4" w:space="0"/>
            </w:tcBorders>
            <w:shd w:val="clear" w:color="auto" w:fill="auto"/>
            <w:vAlign w:val="center"/>
          </w:tcPr>
          <w:p w14:paraId="684FCD6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517B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2C4B73A">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84A740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起重机械超载保护装置安全技术规范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D5DE05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GB12602-90</w:t>
            </w:r>
          </w:p>
        </w:tc>
        <w:tc>
          <w:tcPr>
            <w:tcW w:w="670" w:type="dxa"/>
            <w:vMerge w:val="continue"/>
            <w:tcBorders>
              <w:left w:val="single" w:color="auto" w:sz="4" w:space="0"/>
              <w:right w:val="single" w:color="auto" w:sz="4" w:space="0"/>
            </w:tcBorders>
            <w:shd w:val="clear" w:color="auto" w:fill="auto"/>
            <w:vAlign w:val="center"/>
          </w:tcPr>
          <w:p w14:paraId="002AF6E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69EF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6C238F5">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57490269">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起重机试验规范和程序</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90E7A4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5905-2011</w:t>
            </w:r>
          </w:p>
        </w:tc>
        <w:tc>
          <w:tcPr>
            <w:tcW w:w="670" w:type="dxa"/>
            <w:vMerge w:val="continue"/>
            <w:tcBorders>
              <w:left w:val="single" w:color="auto" w:sz="4" w:space="0"/>
              <w:right w:val="single" w:color="auto" w:sz="4" w:space="0"/>
            </w:tcBorders>
            <w:shd w:val="clear" w:color="auto" w:fill="auto"/>
            <w:vAlign w:val="center"/>
          </w:tcPr>
          <w:p w14:paraId="3253807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029E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EA8496C">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7393FB9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起重机设计规范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751DA48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GB/T3811-2008</w:t>
            </w:r>
          </w:p>
        </w:tc>
        <w:tc>
          <w:tcPr>
            <w:tcW w:w="670" w:type="dxa"/>
            <w:vMerge w:val="continue"/>
            <w:tcBorders>
              <w:left w:val="single" w:color="auto" w:sz="4" w:space="0"/>
              <w:right w:val="single" w:color="auto" w:sz="4" w:space="0"/>
            </w:tcBorders>
            <w:shd w:val="clear" w:color="auto" w:fill="auto"/>
            <w:vAlign w:val="center"/>
          </w:tcPr>
          <w:p w14:paraId="21810E69">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1C23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65A7096">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11ECC3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起重机安全规程第1部分总则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7B4F13C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GB/T6067.1-2010</w:t>
            </w:r>
          </w:p>
        </w:tc>
        <w:tc>
          <w:tcPr>
            <w:tcW w:w="670" w:type="dxa"/>
            <w:vMerge w:val="continue"/>
            <w:tcBorders>
              <w:left w:val="single" w:color="auto" w:sz="4" w:space="0"/>
              <w:right w:val="single" w:color="auto" w:sz="4" w:space="0"/>
            </w:tcBorders>
            <w:shd w:val="clear" w:color="auto" w:fill="auto"/>
            <w:vAlign w:val="center"/>
          </w:tcPr>
          <w:p w14:paraId="20C22F9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574A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2C26473">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2D7AA48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起重机安全规程第5部分桥式和门式起重机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518E49C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GB/T6067.5-2014</w:t>
            </w:r>
          </w:p>
        </w:tc>
        <w:tc>
          <w:tcPr>
            <w:tcW w:w="670" w:type="dxa"/>
            <w:vMerge w:val="continue"/>
            <w:tcBorders>
              <w:left w:val="single" w:color="auto" w:sz="4" w:space="0"/>
              <w:right w:val="single" w:color="auto" w:sz="4" w:space="0"/>
            </w:tcBorders>
            <w:shd w:val="clear" w:color="auto" w:fill="auto"/>
            <w:vAlign w:val="center"/>
          </w:tcPr>
          <w:p w14:paraId="4BE7EA39">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6276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B92E84A">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5B68A65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通用桥式起重机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522B30B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GB/T14405-2011</w:t>
            </w:r>
          </w:p>
        </w:tc>
        <w:tc>
          <w:tcPr>
            <w:tcW w:w="670" w:type="dxa"/>
            <w:vMerge w:val="continue"/>
            <w:tcBorders>
              <w:left w:val="single" w:color="auto" w:sz="4" w:space="0"/>
              <w:right w:val="single" w:color="auto" w:sz="4" w:space="0"/>
            </w:tcBorders>
            <w:shd w:val="clear" w:color="auto" w:fill="auto"/>
            <w:vAlign w:val="center"/>
          </w:tcPr>
          <w:p w14:paraId="305B895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010A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EFEB298">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40427E3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机械电气安全机械电气设备第32部分；起重机械技术条件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22FCD33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GB/T5223.32-2017</w:t>
            </w:r>
          </w:p>
        </w:tc>
        <w:tc>
          <w:tcPr>
            <w:tcW w:w="670" w:type="dxa"/>
            <w:vMerge w:val="continue"/>
            <w:tcBorders>
              <w:left w:val="single" w:color="auto" w:sz="4" w:space="0"/>
              <w:right w:val="single" w:color="auto" w:sz="4" w:space="0"/>
            </w:tcBorders>
            <w:shd w:val="clear" w:color="auto" w:fill="auto"/>
            <w:vAlign w:val="center"/>
          </w:tcPr>
          <w:p w14:paraId="0756FE8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AEB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413ACCF">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2E4D6B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起重机司机室第1部分总则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0F48688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GB/T20303.1-2016</w:t>
            </w:r>
          </w:p>
        </w:tc>
        <w:tc>
          <w:tcPr>
            <w:tcW w:w="670" w:type="dxa"/>
            <w:vMerge w:val="continue"/>
            <w:tcBorders>
              <w:left w:val="single" w:color="auto" w:sz="4" w:space="0"/>
              <w:right w:val="single" w:color="auto" w:sz="4" w:space="0"/>
            </w:tcBorders>
            <w:shd w:val="clear" w:color="auto" w:fill="auto"/>
            <w:vAlign w:val="center"/>
          </w:tcPr>
          <w:p w14:paraId="469AB88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5B07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1537EBB">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4704BAC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起重机司机室第5部分桥式和门式起重机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5077D6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GB/T20303.5-2006</w:t>
            </w:r>
          </w:p>
        </w:tc>
        <w:tc>
          <w:tcPr>
            <w:tcW w:w="670" w:type="dxa"/>
            <w:vMerge w:val="restart"/>
            <w:tcBorders>
              <w:left w:val="single" w:color="auto" w:sz="4" w:space="0"/>
              <w:right w:val="single" w:color="auto" w:sz="4" w:space="0"/>
            </w:tcBorders>
            <w:shd w:val="clear" w:color="auto" w:fill="auto"/>
            <w:vAlign w:val="center"/>
          </w:tcPr>
          <w:p w14:paraId="13345D1D">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1CA6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81FBFEE">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96954B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起重机载荷与载荷组合的设计原则 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77CFC09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22437.1-2018</w:t>
            </w:r>
          </w:p>
        </w:tc>
        <w:tc>
          <w:tcPr>
            <w:tcW w:w="670" w:type="dxa"/>
            <w:vMerge w:val="continue"/>
            <w:tcBorders>
              <w:left w:val="single" w:color="auto" w:sz="4" w:space="0"/>
              <w:right w:val="single" w:color="auto" w:sz="4" w:space="0"/>
            </w:tcBorders>
            <w:shd w:val="clear" w:color="auto" w:fill="auto"/>
            <w:vAlign w:val="center"/>
          </w:tcPr>
          <w:p w14:paraId="3A894E1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60FB4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4CB2C09">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E84B52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起重吊具分类</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775C7D7D">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35975-2018</w:t>
            </w:r>
          </w:p>
        </w:tc>
        <w:tc>
          <w:tcPr>
            <w:tcW w:w="670" w:type="dxa"/>
            <w:vMerge w:val="continue"/>
            <w:tcBorders>
              <w:left w:val="single" w:color="auto" w:sz="4" w:space="0"/>
              <w:right w:val="single" w:color="auto" w:sz="4" w:space="0"/>
            </w:tcBorders>
            <w:shd w:val="clear" w:color="auto" w:fill="auto"/>
            <w:vAlign w:val="center"/>
          </w:tcPr>
          <w:p w14:paraId="32EC862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51A5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0816A94">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965563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起重机和动芦绳、和滑轮的选择</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6805C1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GB/T34029-2017</w:t>
            </w:r>
          </w:p>
        </w:tc>
        <w:tc>
          <w:tcPr>
            <w:tcW w:w="670" w:type="dxa"/>
            <w:vMerge w:val="continue"/>
            <w:tcBorders>
              <w:left w:val="single" w:color="auto" w:sz="4" w:space="0"/>
              <w:right w:val="single" w:color="auto" w:sz="4" w:space="0"/>
            </w:tcBorders>
            <w:shd w:val="clear" w:color="auto" w:fill="auto"/>
            <w:vAlign w:val="center"/>
          </w:tcPr>
          <w:p w14:paraId="49A899C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0F40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5BE8039">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5254391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起重机用钢丝绳</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19B0F75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GM/T3418-2017</w:t>
            </w:r>
          </w:p>
        </w:tc>
        <w:tc>
          <w:tcPr>
            <w:tcW w:w="670" w:type="dxa"/>
            <w:vMerge w:val="continue"/>
            <w:tcBorders>
              <w:left w:val="single" w:color="auto" w:sz="4" w:space="0"/>
              <w:right w:val="single" w:color="auto" w:sz="4" w:space="0"/>
            </w:tcBorders>
            <w:shd w:val="clear" w:color="auto" w:fill="auto"/>
            <w:vAlign w:val="center"/>
          </w:tcPr>
          <w:p w14:paraId="780A16A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4F95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A7B386B">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2A6C6AA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起重机钢丝绳保养、维护、检验和报废</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509F7B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5972-2016</w:t>
            </w:r>
          </w:p>
        </w:tc>
        <w:tc>
          <w:tcPr>
            <w:tcW w:w="670" w:type="dxa"/>
            <w:vMerge w:val="continue"/>
            <w:tcBorders>
              <w:left w:val="single" w:color="auto" w:sz="4" w:space="0"/>
              <w:right w:val="single" w:color="auto" w:sz="4" w:space="0"/>
            </w:tcBorders>
            <w:shd w:val="clear" w:color="auto" w:fill="auto"/>
            <w:vAlign w:val="center"/>
          </w:tcPr>
          <w:p w14:paraId="0B7D85A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37DA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557599F">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2E326FC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起重机检查第1部分；总则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0DDC482D">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GB/T23723.1-2016</w:t>
            </w:r>
          </w:p>
        </w:tc>
        <w:tc>
          <w:tcPr>
            <w:tcW w:w="670" w:type="dxa"/>
            <w:vMerge w:val="continue"/>
            <w:tcBorders>
              <w:left w:val="single" w:color="auto" w:sz="4" w:space="0"/>
              <w:right w:val="single" w:color="auto" w:sz="4" w:space="0"/>
            </w:tcBorders>
            <w:shd w:val="clear" w:color="auto" w:fill="auto"/>
            <w:vAlign w:val="center"/>
          </w:tcPr>
          <w:p w14:paraId="53612B2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588D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0501C15">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99535E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起重机械检查与维护规程 第7部分；杆起重机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2BF6E64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20303.1-2016</w:t>
            </w:r>
          </w:p>
        </w:tc>
        <w:tc>
          <w:tcPr>
            <w:tcW w:w="670" w:type="dxa"/>
            <w:vMerge w:val="continue"/>
            <w:tcBorders>
              <w:left w:val="single" w:color="auto" w:sz="4" w:space="0"/>
              <w:right w:val="single" w:color="auto" w:sz="4" w:space="0"/>
            </w:tcBorders>
            <w:shd w:val="clear" w:color="auto" w:fill="auto"/>
            <w:vAlign w:val="center"/>
          </w:tcPr>
          <w:p w14:paraId="7272CBA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0CF0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21A2145">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EB2711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起重机械检查与维护规程第10部分；轻小型起重设备</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144BF55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20303.1-2016</w:t>
            </w:r>
          </w:p>
        </w:tc>
        <w:tc>
          <w:tcPr>
            <w:tcW w:w="670" w:type="dxa"/>
            <w:vMerge w:val="continue"/>
            <w:tcBorders>
              <w:left w:val="single" w:color="auto" w:sz="4" w:space="0"/>
              <w:right w:val="single" w:color="auto" w:sz="4" w:space="0"/>
            </w:tcBorders>
            <w:shd w:val="clear" w:color="auto" w:fill="auto"/>
            <w:vAlign w:val="center"/>
          </w:tcPr>
          <w:p w14:paraId="0391C9C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332C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E5C4CC4">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5FA58E5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起重机械检查与维护规程第1部分；总则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9363EC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GB/T31052.10-2016</w:t>
            </w:r>
          </w:p>
        </w:tc>
        <w:tc>
          <w:tcPr>
            <w:tcW w:w="670" w:type="dxa"/>
            <w:vMerge w:val="continue"/>
            <w:tcBorders>
              <w:left w:val="single" w:color="auto" w:sz="4" w:space="0"/>
              <w:right w:val="single" w:color="auto" w:sz="4" w:space="0"/>
            </w:tcBorders>
            <w:shd w:val="clear" w:color="auto" w:fill="auto"/>
            <w:vAlign w:val="center"/>
          </w:tcPr>
          <w:p w14:paraId="10B8AA0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6E13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63E06DD">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8CCE8E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工作和非工作状态下的锚定装置第1部分；总则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0768768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31052.1-2014</w:t>
            </w:r>
          </w:p>
        </w:tc>
        <w:tc>
          <w:tcPr>
            <w:tcW w:w="670" w:type="dxa"/>
            <w:vMerge w:val="continue"/>
            <w:tcBorders>
              <w:left w:val="single" w:color="auto" w:sz="4" w:space="0"/>
              <w:right w:val="single" w:color="auto" w:sz="4" w:space="0"/>
            </w:tcBorders>
            <w:shd w:val="clear" w:color="auto" w:fill="auto"/>
            <w:vAlign w:val="center"/>
          </w:tcPr>
          <w:p w14:paraId="1479385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011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B7BA654">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59D7FE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起重机械用电力驱动起升机构能效测试方法</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AB08BB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31051.1-2014</w:t>
            </w:r>
          </w:p>
        </w:tc>
        <w:tc>
          <w:tcPr>
            <w:tcW w:w="670" w:type="dxa"/>
            <w:vMerge w:val="continue"/>
            <w:tcBorders>
              <w:left w:val="single" w:color="auto" w:sz="4" w:space="0"/>
              <w:right w:val="single" w:color="auto" w:sz="4" w:space="0"/>
            </w:tcBorders>
            <w:shd w:val="clear" w:color="auto" w:fill="auto"/>
            <w:vAlign w:val="center"/>
          </w:tcPr>
          <w:p w14:paraId="2BDF785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31D7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61C5F8B">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FC95EB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起重机械用电动机能效测试方法第3部分；锥形转子三相异步电动机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2B15B4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29562.3-2013</w:t>
            </w:r>
          </w:p>
        </w:tc>
        <w:tc>
          <w:tcPr>
            <w:tcW w:w="670" w:type="dxa"/>
            <w:vMerge w:val="continue"/>
            <w:tcBorders>
              <w:left w:val="single" w:color="auto" w:sz="4" w:space="0"/>
              <w:right w:val="single" w:color="auto" w:sz="4" w:space="0"/>
            </w:tcBorders>
            <w:shd w:val="clear" w:color="auto" w:fill="auto"/>
            <w:vAlign w:val="center"/>
          </w:tcPr>
          <w:p w14:paraId="6CC7619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A75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A944F96">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7253548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通道及安全防护设施第1部分；总则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78E41BE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24818.1-2009</w:t>
            </w:r>
          </w:p>
        </w:tc>
        <w:tc>
          <w:tcPr>
            <w:tcW w:w="670" w:type="dxa"/>
            <w:vMerge w:val="continue"/>
            <w:tcBorders>
              <w:left w:val="single" w:color="auto" w:sz="4" w:space="0"/>
              <w:right w:val="single" w:color="auto" w:sz="4" w:space="0"/>
            </w:tcBorders>
            <w:shd w:val="clear" w:color="auto" w:fill="auto"/>
            <w:vAlign w:val="center"/>
          </w:tcPr>
          <w:p w14:paraId="5133A5B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C55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C6872FD">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60B4B0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通道及安全防护设施第5部分；桥式和门式起重机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7E56AAD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24818.5-2009</w:t>
            </w:r>
          </w:p>
        </w:tc>
        <w:tc>
          <w:tcPr>
            <w:tcW w:w="670" w:type="dxa"/>
            <w:vMerge w:val="continue"/>
            <w:tcBorders>
              <w:left w:val="single" w:color="auto" w:sz="4" w:space="0"/>
              <w:right w:val="single" w:color="auto" w:sz="4" w:space="0"/>
            </w:tcBorders>
            <w:shd w:val="clear" w:color="auto" w:fill="auto"/>
            <w:vAlign w:val="center"/>
          </w:tcPr>
          <w:p w14:paraId="7457ADA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5909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408D6AF">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AD990B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载荷与载荷组合的设计原则第5部分；桥式和门式起重机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204163A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GB/T22437.5-2008</w:t>
            </w:r>
          </w:p>
        </w:tc>
        <w:tc>
          <w:tcPr>
            <w:tcW w:w="670" w:type="dxa"/>
            <w:vMerge w:val="continue"/>
            <w:tcBorders>
              <w:left w:val="single" w:color="auto" w:sz="4" w:space="0"/>
              <w:right w:val="single" w:color="auto" w:sz="4" w:space="0"/>
            </w:tcBorders>
            <w:shd w:val="clear" w:color="auto" w:fill="auto"/>
            <w:vAlign w:val="center"/>
          </w:tcPr>
          <w:p w14:paraId="1652CE0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0FA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9211E0B">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0B6F14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分级第5部分；桥式和门式起重机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E6C2F9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20863.5-2007</w:t>
            </w:r>
          </w:p>
        </w:tc>
        <w:tc>
          <w:tcPr>
            <w:tcW w:w="670" w:type="dxa"/>
            <w:vMerge w:val="continue"/>
            <w:tcBorders>
              <w:left w:val="single" w:color="auto" w:sz="4" w:space="0"/>
              <w:right w:val="single" w:color="auto" w:sz="4" w:space="0"/>
            </w:tcBorders>
            <w:shd w:val="clear" w:color="auto" w:fill="auto"/>
            <w:vAlign w:val="center"/>
          </w:tcPr>
          <w:p w14:paraId="056A9FB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382A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792D4C5">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778E62B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桥式和门式起重机 制造及轨道安装公差</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D8DF62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10183-2005</w:t>
            </w:r>
          </w:p>
        </w:tc>
        <w:tc>
          <w:tcPr>
            <w:tcW w:w="670" w:type="dxa"/>
            <w:vMerge w:val="continue"/>
            <w:tcBorders>
              <w:left w:val="single" w:color="auto" w:sz="4" w:space="0"/>
              <w:right w:val="single" w:color="auto" w:sz="4" w:space="0"/>
            </w:tcBorders>
            <w:shd w:val="clear" w:color="auto" w:fill="auto"/>
            <w:vAlign w:val="center"/>
          </w:tcPr>
          <w:p w14:paraId="7328417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1C47A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4A03BB6">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2E3AF60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备件手册</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240AA1E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18875-2002</w:t>
            </w:r>
          </w:p>
        </w:tc>
        <w:tc>
          <w:tcPr>
            <w:tcW w:w="670" w:type="dxa"/>
            <w:vMerge w:val="continue"/>
            <w:tcBorders>
              <w:left w:val="single" w:color="auto" w:sz="4" w:space="0"/>
              <w:right w:val="single" w:color="auto" w:sz="4" w:space="0"/>
            </w:tcBorders>
            <w:shd w:val="clear" w:color="auto" w:fill="auto"/>
            <w:vAlign w:val="center"/>
          </w:tcPr>
          <w:p w14:paraId="564A204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77E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99C8321">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AB5DDB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维护手册第1部分；总则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2FAE091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18453-2001</w:t>
            </w:r>
          </w:p>
        </w:tc>
        <w:tc>
          <w:tcPr>
            <w:tcW w:w="670" w:type="dxa"/>
            <w:vMerge w:val="continue"/>
            <w:tcBorders>
              <w:left w:val="single" w:color="auto" w:sz="4" w:space="0"/>
              <w:right w:val="single" w:color="auto" w:sz="4" w:space="0"/>
            </w:tcBorders>
            <w:shd w:val="clear" w:color="auto" w:fill="auto"/>
            <w:vAlign w:val="center"/>
          </w:tcPr>
          <w:p w14:paraId="0EF2ECC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56D5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DD97941">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323C15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起重机和起重机械 技术性能和验收文件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28BDB5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17908-1999</w:t>
            </w:r>
          </w:p>
        </w:tc>
        <w:tc>
          <w:tcPr>
            <w:tcW w:w="670" w:type="dxa"/>
            <w:vMerge w:val="restart"/>
            <w:tcBorders>
              <w:left w:val="single" w:color="auto" w:sz="4" w:space="0"/>
              <w:right w:val="single" w:color="auto" w:sz="4" w:space="0"/>
            </w:tcBorders>
            <w:shd w:val="clear" w:color="auto" w:fill="auto"/>
            <w:vAlign w:val="center"/>
          </w:tcPr>
          <w:p w14:paraId="081D058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641F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A36F840">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7D7AE81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电动桥式起重机跨度和起升高度系列</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361ADD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790-1995</w:t>
            </w:r>
          </w:p>
        </w:tc>
        <w:tc>
          <w:tcPr>
            <w:tcW w:w="670" w:type="dxa"/>
            <w:vMerge w:val="continue"/>
            <w:tcBorders>
              <w:left w:val="single" w:color="auto" w:sz="4" w:space="0"/>
              <w:right w:val="single" w:color="auto" w:sz="4" w:space="0"/>
            </w:tcBorders>
            <w:shd w:val="clear" w:color="auto" w:fill="auto"/>
            <w:vAlign w:val="center"/>
          </w:tcPr>
          <w:p w14:paraId="2F436FB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1772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0172AAC">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221E9CD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电气设备安全设计导则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185FC30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GB/T25295-2010</w:t>
            </w:r>
          </w:p>
        </w:tc>
        <w:tc>
          <w:tcPr>
            <w:tcW w:w="670" w:type="dxa"/>
            <w:vMerge w:val="continue"/>
            <w:tcBorders>
              <w:left w:val="single" w:color="auto" w:sz="4" w:space="0"/>
              <w:right w:val="single" w:color="auto" w:sz="4" w:space="0"/>
            </w:tcBorders>
            <w:shd w:val="clear" w:color="auto" w:fill="auto"/>
            <w:vAlign w:val="center"/>
          </w:tcPr>
          <w:p w14:paraId="585D7B3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46EC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FD09370">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trike/>
                <w:dstrike w:val="0"/>
                <w:sz w:val="21"/>
                <w:szCs w:val="21"/>
                <w:highlight w:val="none"/>
                <w:lang w:bidi="ar"/>
              </w:rPr>
            </w:pPr>
            <w:r>
              <w:rPr>
                <w:rFonts w:hint="eastAsia" w:ascii="仿宋" w:hAnsi="仿宋" w:eastAsia="仿宋" w:cs="仿宋"/>
                <w:color w:val="000000" w:themeColor="text1"/>
                <w:sz w:val="21"/>
                <w:szCs w:val="21"/>
                <w:highlight w:val="none"/>
                <w:lang w:val="en-US" w:eastAsia="zh-CN" w:bidi="ar"/>
                <w14:textFill>
                  <w14:solidFill>
                    <w14:schemeClr w14:val="tx1"/>
                  </w14:solidFill>
                </w14:textFill>
              </w:rPr>
              <w:t>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1D1B20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trike/>
                <w:dstrike w:val="0"/>
                <w:sz w:val="21"/>
                <w:szCs w:val="21"/>
                <w:highlight w:val="none"/>
                <w:lang w:bidi="ar"/>
              </w:rPr>
            </w:pPr>
            <w:r>
              <w:rPr>
                <w:rFonts w:hint="eastAsia" w:ascii="仿宋" w:hAnsi="仿宋" w:eastAsia="仿宋" w:cs="仿宋"/>
                <w:color w:val="000000" w:themeColor="text1"/>
                <w:sz w:val="21"/>
                <w:szCs w:val="21"/>
                <w:highlight w:val="none"/>
                <w:lang w:bidi="ar"/>
                <w14:textFill>
                  <w14:solidFill>
                    <w14:schemeClr w14:val="tx1"/>
                  </w14:solidFill>
                </w14:textFill>
              </w:rPr>
              <w:t>《起重机安全起重吊具》</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FF5BF8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trike/>
                <w:dstrike w:val="0"/>
                <w:sz w:val="21"/>
                <w:szCs w:val="21"/>
                <w:highlight w:val="none"/>
                <w:lang w:bidi="ar"/>
              </w:rPr>
            </w:pPr>
            <w:r>
              <w:rPr>
                <w:rFonts w:hint="eastAsia" w:ascii="仿宋" w:hAnsi="仿宋" w:eastAsia="仿宋" w:cs="仿宋"/>
                <w:color w:val="000000" w:themeColor="text1"/>
                <w:sz w:val="21"/>
                <w:szCs w:val="21"/>
                <w:highlight w:val="none"/>
                <w:lang w:bidi="ar"/>
                <w14:textFill>
                  <w14:solidFill>
                    <w14:schemeClr w14:val="tx1"/>
                  </w14:solidFill>
                </w14:textFill>
              </w:rPr>
              <w:t>GB/T 41098-2021</w:t>
            </w:r>
          </w:p>
        </w:tc>
        <w:tc>
          <w:tcPr>
            <w:tcW w:w="670" w:type="dxa"/>
            <w:vMerge w:val="continue"/>
            <w:tcBorders>
              <w:left w:val="single" w:color="auto" w:sz="4" w:space="0"/>
              <w:right w:val="single" w:color="auto" w:sz="4" w:space="0"/>
            </w:tcBorders>
            <w:shd w:val="clear" w:color="auto" w:fill="auto"/>
            <w:vAlign w:val="center"/>
          </w:tcPr>
          <w:p w14:paraId="3707D34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778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B09FD40">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ED9975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起重机械安全监控管理系统</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5BAA36A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GB/T28264-2017</w:t>
            </w:r>
          </w:p>
        </w:tc>
        <w:tc>
          <w:tcPr>
            <w:tcW w:w="670" w:type="dxa"/>
            <w:vMerge w:val="continue"/>
            <w:tcBorders>
              <w:left w:val="single" w:color="auto" w:sz="4" w:space="0"/>
              <w:right w:val="single" w:color="auto" w:sz="4" w:space="0"/>
            </w:tcBorders>
            <w:shd w:val="clear" w:color="auto" w:fill="auto"/>
            <w:vAlign w:val="center"/>
          </w:tcPr>
          <w:p w14:paraId="5C35FAFD">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DF1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79620F1">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CE3D2C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气焊、手工焊及气保焊焊缝坡口基本形式与尺寸</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9661C5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GB986-1998</w:t>
            </w:r>
          </w:p>
        </w:tc>
        <w:tc>
          <w:tcPr>
            <w:tcW w:w="670" w:type="dxa"/>
            <w:vMerge w:val="continue"/>
            <w:tcBorders>
              <w:left w:val="single" w:color="auto" w:sz="4" w:space="0"/>
              <w:right w:val="single" w:color="auto" w:sz="4" w:space="0"/>
            </w:tcBorders>
            <w:shd w:val="clear" w:color="auto" w:fill="auto"/>
            <w:vAlign w:val="center"/>
          </w:tcPr>
          <w:p w14:paraId="5052DA9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75B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36AA31C">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5AECFB9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旋转电机整体结构的防护等级</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2E44506D">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GB/T4942.1-2006</w:t>
            </w:r>
          </w:p>
        </w:tc>
        <w:tc>
          <w:tcPr>
            <w:tcW w:w="670" w:type="dxa"/>
            <w:vMerge w:val="continue"/>
            <w:tcBorders>
              <w:left w:val="single" w:color="auto" w:sz="4" w:space="0"/>
              <w:right w:val="single" w:color="auto" w:sz="4" w:space="0"/>
            </w:tcBorders>
            <w:shd w:val="clear" w:color="auto" w:fill="auto"/>
            <w:vAlign w:val="center"/>
          </w:tcPr>
          <w:p w14:paraId="013B587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83A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5B061E9">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6E1EAC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供配电系统设计规范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21F88D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GB50052-2016</w:t>
            </w:r>
          </w:p>
        </w:tc>
        <w:tc>
          <w:tcPr>
            <w:tcW w:w="670" w:type="dxa"/>
            <w:vMerge w:val="continue"/>
            <w:tcBorders>
              <w:left w:val="single" w:color="auto" w:sz="4" w:space="0"/>
              <w:right w:val="single" w:color="auto" w:sz="4" w:space="0"/>
            </w:tcBorders>
            <w:shd w:val="clear" w:color="auto" w:fill="auto"/>
            <w:vAlign w:val="center"/>
          </w:tcPr>
          <w:p w14:paraId="236AEF1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A44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A4FC2D5">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7210215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低压配电设计规范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A3EFDC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GB50054-2011</w:t>
            </w:r>
          </w:p>
        </w:tc>
        <w:tc>
          <w:tcPr>
            <w:tcW w:w="670" w:type="dxa"/>
            <w:vMerge w:val="continue"/>
            <w:tcBorders>
              <w:left w:val="single" w:color="auto" w:sz="4" w:space="0"/>
              <w:right w:val="single" w:color="auto" w:sz="4" w:space="0"/>
            </w:tcBorders>
            <w:shd w:val="clear" w:color="auto" w:fill="auto"/>
            <w:vAlign w:val="center"/>
          </w:tcPr>
          <w:p w14:paraId="0257E27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3D60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DBADB4D">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D8A717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优质碳素结构钢</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E2590A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GB699-88</w:t>
            </w:r>
          </w:p>
        </w:tc>
        <w:tc>
          <w:tcPr>
            <w:tcW w:w="670" w:type="dxa"/>
            <w:vMerge w:val="continue"/>
            <w:tcBorders>
              <w:left w:val="single" w:color="auto" w:sz="4" w:space="0"/>
              <w:right w:val="single" w:color="auto" w:sz="4" w:space="0"/>
            </w:tcBorders>
            <w:shd w:val="clear" w:color="auto" w:fill="auto"/>
            <w:vAlign w:val="center"/>
          </w:tcPr>
          <w:p w14:paraId="47D6C5C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51A3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2088D709">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2C8214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碳素结构钢</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71547A5E">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GB700-88</w:t>
            </w:r>
          </w:p>
        </w:tc>
        <w:tc>
          <w:tcPr>
            <w:tcW w:w="670" w:type="dxa"/>
            <w:vMerge w:val="continue"/>
            <w:tcBorders>
              <w:left w:val="single" w:color="auto" w:sz="4" w:space="0"/>
              <w:right w:val="single" w:color="auto" w:sz="4" w:space="0"/>
            </w:tcBorders>
            <w:shd w:val="clear" w:color="auto" w:fill="auto"/>
            <w:vAlign w:val="center"/>
          </w:tcPr>
          <w:p w14:paraId="5FF355F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0C39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7B8624C3">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3225CDA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起重机车轮</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8A4BD0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JB/T6392-2008</w:t>
            </w:r>
          </w:p>
        </w:tc>
        <w:tc>
          <w:tcPr>
            <w:tcW w:w="670" w:type="dxa"/>
            <w:vMerge w:val="continue"/>
            <w:tcBorders>
              <w:left w:val="single" w:color="auto" w:sz="4" w:space="0"/>
              <w:right w:val="single" w:color="auto" w:sz="4" w:space="0"/>
            </w:tcBorders>
            <w:shd w:val="clear" w:color="auto" w:fill="auto"/>
            <w:vAlign w:val="center"/>
          </w:tcPr>
          <w:p w14:paraId="2A61184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92C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6647B0C">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B6556D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重要用途钢丝绳</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22536E23">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GB8918-2006</w:t>
            </w:r>
          </w:p>
        </w:tc>
        <w:tc>
          <w:tcPr>
            <w:tcW w:w="670" w:type="dxa"/>
            <w:vMerge w:val="continue"/>
            <w:tcBorders>
              <w:left w:val="single" w:color="auto" w:sz="4" w:space="0"/>
              <w:right w:val="single" w:color="auto" w:sz="4" w:space="0"/>
            </w:tcBorders>
            <w:shd w:val="clear" w:color="auto" w:fill="auto"/>
            <w:vAlign w:val="center"/>
          </w:tcPr>
          <w:p w14:paraId="45ECA26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D3A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55B4D3FE">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1249E92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低合金结构钢</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4ADA2D7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GB1348-88</w:t>
            </w:r>
          </w:p>
        </w:tc>
        <w:tc>
          <w:tcPr>
            <w:tcW w:w="670" w:type="dxa"/>
            <w:vMerge w:val="continue"/>
            <w:tcBorders>
              <w:left w:val="single" w:color="auto" w:sz="4" w:space="0"/>
              <w:right w:val="single" w:color="auto" w:sz="4" w:space="0"/>
            </w:tcBorders>
            <w:shd w:val="clear" w:color="auto" w:fill="auto"/>
            <w:vAlign w:val="center"/>
          </w:tcPr>
          <w:p w14:paraId="375D9A56">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0B7B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0203BD4">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4AE4C33A">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一般工程用铸造碳钢件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231F1B0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GB11352-89</w:t>
            </w:r>
          </w:p>
        </w:tc>
        <w:tc>
          <w:tcPr>
            <w:tcW w:w="670" w:type="dxa"/>
            <w:vMerge w:val="continue"/>
            <w:tcBorders>
              <w:left w:val="single" w:color="auto" w:sz="4" w:space="0"/>
              <w:right w:val="single" w:color="auto" w:sz="4" w:space="0"/>
            </w:tcBorders>
            <w:shd w:val="clear" w:color="auto" w:fill="auto"/>
            <w:vAlign w:val="center"/>
          </w:tcPr>
          <w:p w14:paraId="1B9A23A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34EC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E1A9AEC">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35E880C">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起重机用三合一减速器检验标准与规范(3)</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31D6635D">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J8/T9003-2004</w:t>
            </w:r>
          </w:p>
        </w:tc>
        <w:tc>
          <w:tcPr>
            <w:tcW w:w="670" w:type="dxa"/>
            <w:vMerge w:val="continue"/>
            <w:tcBorders>
              <w:left w:val="single" w:color="auto" w:sz="4" w:space="0"/>
              <w:right w:val="single" w:color="auto" w:sz="4" w:space="0"/>
            </w:tcBorders>
            <w:shd w:val="clear" w:color="auto" w:fill="auto"/>
            <w:vAlign w:val="center"/>
          </w:tcPr>
          <w:p w14:paraId="1912AD62">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19C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601508F6">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trike w:val="0"/>
                <w:dstrike w:val="0"/>
                <w:sz w:val="21"/>
                <w:szCs w:val="21"/>
                <w:highlight w:val="none"/>
                <w:lang w:bidi="ar"/>
              </w:rPr>
              <w:t>68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68C158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钢熔化焊对接头射线照相和质量分级</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0526718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GB/T3323-2005</w:t>
            </w:r>
          </w:p>
        </w:tc>
        <w:tc>
          <w:tcPr>
            <w:tcW w:w="670" w:type="dxa"/>
            <w:vMerge w:val="continue"/>
            <w:tcBorders>
              <w:left w:val="single" w:color="auto" w:sz="4" w:space="0"/>
              <w:right w:val="single" w:color="auto" w:sz="4" w:space="0"/>
            </w:tcBorders>
            <w:shd w:val="clear" w:color="auto" w:fill="auto"/>
            <w:vAlign w:val="center"/>
          </w:tcPr>
          <w:p w14:paraId="0B04E10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B84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0BF49AA">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24E61E71">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焊缝无损检测技术、检测等级和评定</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00786E5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GB11345-2013</w:t>
            </w:r>
          </w:p>
        </w:tc>
        <w:tc>
          <w:tcPr>
            <w:tcW w:w="670" w:type="dxa"/>
            <w:vMerge w:val="continue"/>
            <w:tcBorders>
              <w:left w:val="single" w:color="auto" w:sz="4" w:space="0"/>
              <w:right w:val="single" w:color="auto" w:sz="4" w:space="0"/>
            </w:tcBorders>
            <w:shd w:val="clear" w:color="auto" w:fill="auto"/>
            <w:vAlign w:val="center"/>
          </w:tcPr>
          <w:p w14:paraId="5DDE851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0AF2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4A71761B">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6ABDE06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涂覆涂料前钢材表面处理</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61F8A19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GB/T8923.2-2008</w:t>
            </w:r>
          </w:p>
        </w:tc>
        <w:tc>
          <w:tcPr>
            <w:tcW w:w="670" w:type="dxa"/>
            <w:vMerge w:val="continue"/>
            <w:tcBorders>
              <w:left w:val="single" w:color="auto" w:sz="4" w:space="0"/>
              <w:right w:val="single" w:color="auto" w:sz="4" w:space="0"/>
            </w:tcBorders>
            <w:shd w:val="clear" w:color="auto" w:fill="auto"/>
            <w:vAlign w:val="center"/>
          </w:tcPr>
          <w:p w14:paraId="7FAF257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061D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184BB8E2">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2160B530">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起重设备安装工程施工及验收规范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7F76CD8B">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GB50278-2010</w:t>
            </w:r>
          </w:p>
        </w:tc>
        <w:tc>
          <w:tcPr>
            <w:tcW w:w="670" w:type="dxa"/>
            <w:vMerge w:val="restart"/>
            <w:tcBorders>
              <w:left w:val="single" w:color="auto" w:sz="4" w:space="0"/>
              <w:right w:val="single" w:color="auto" w:sz="4" w:space="0"/>
            </w:tcBorders>
            <w:shd w:val="clear" w:color="auto" w:fill="auto"/>
            <w:vAlign w:val="center"/>
          </w:tcPr>
          <w:p w14:paraId="63EF029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79B04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0DB607C8">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09D9989F">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电气装置安装工程起重机电气装置施工及验收规范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0A7F4DC7">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GB50256-2014</w:t>
            </w:r>
          </w:p>
        </w:tc>
        <w:tc>
          <w:tcPr>
            <w:tcW w:w="670" w:type="dxa"/>
            <w:vMerge w:val="continue"/>
            <w:tcBorders>
              <w:left w:val="single" w:color="auto" w:sz="4" w:space="0"/>
              <w:right w:val="single" w:color="auto" w:sz="4" w:space="0"/>
            </w:tcBorders>
            <w:shd w:val="clear" w:color="auto" w:fill="auto"/>
            <w:vAlign w:val="center"/>
          </w:tcPr>
          <w:p w14:paraId="21772194">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14:paraId="21B7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14:paraId="3623F8F9">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14:paraId="2CC23DC9">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吊车轨道联结及车挡</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14:paraId="525F7E58">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05G525</w:t>
            </w:r>
          </w:p>
        </w:tc>
        <w:tc>
          <w:tcPr>
            <w:tcW w:w="670" w:type="dxa"/>
            <w:vMerge w:val="continue"/>
            <w:tcBorders>
              <w:left w:val="single" w:color="auto" w:sz="4" w:space="0"/>
              <w:right w:val="single" w:color="auto" w:sz="4" w:space="0"/>
            </w:tcBorders>
            <w:shd w:val="clear" w:color="auto" w:fill="auto"/>
            <w:vAlign w:val="center"/>
          </w:tcPr>
          <w:p w14:paraId="6CCBF6D5">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bl>
    <w:p w14:paraId="595CD9DA">
      <w:pPr>
        <w:spacing w:line="360" w:lineRule="exact"/>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lang w:bidi="ar"/>
          <w14:textFill>
            <w14:solidFill>
              <w14:schemeClr w14:val="tx1"/>
            </w14:solidFill>
          </w14:textFill>
        </w:rPr>
        <w:t>备注：1、如果有采用国际标准的货物，其执行标准由投标方提供、招标方确认。</w:t>
      </w:r>
    </w:p>
    <w:p w14:paraId="4E1D1811">
      <w:pPr>
        <w:snapToGrid w:val="0"/>
        <w:spacing w:line="360" w:lineRule="auto"/>
        <w:ind w:firstLine="422" w:firstLineChars="200"/>
        <w:outlineLvl w:val="1"/>
        <w:rPr>
          <w:rFonts w:ascii="仿宋" w:hAnsi="仿宋" w:eastAsia="仿宋" w:cs="仿宋"/>
          <w:b/>
          <w:bCs/>
          <w:color w:val="000000" w:themeColor="text1"/>
          <w14:textFill>
            <w14:solidFill>
              <w14:schemeClr w14:val="tx1"/>
            </w14:solidFill>
          </w14:textFill>
        </w:rPr>
      </w:pPr>
      <w:bookmarkStart w:id="256" w:name="_Toc17231"/>
      <w:bookmarkStart w:id="257" w:name="_Toc1411"/>
      <w:bookmarkStart w:id="258" w:name="_Toc8461"/>
      <w:bookmarkStart w:id="259" w:name="_Toc27027"/>
      <w:bookmarkStart w:id="260" w:name="_Toc19638"/>
      <w:bookmarkStart w:id="261" w:name="_Toc16137"/>
      <w:bookmarkStart w:id="262" w:name="_Toc13423"/>
      <w:bookmarkStart w:id="263" w:name="_Toc14059"/>
      <w:bookmarkStart w:id="264" w:name="_Toc32006"/>
      <w:bookmarkStart w:id="265" w:name="_Toc12125"/>
      <w:bookmarkStart w:id="266" w:name="_Toc20964"/>
      <w:bookmarkStart w:id="267" w:name="_Toc21638"/>
      <w:bookmarkStart w:id="268" w:name="_Toc5212"/>
      <w:bookmarkStart w:id="269" w:name="_Toc32758"/>
      <w:bookmarkStart w:id="270" w:name="_Toc29247"/>
      <w:bookmarkStart w:id="271" w:name="_Toc5441"/>
      <w:bookmarkStart w:id="272" w:name="_Toc11599"/>
      <w:bookmarkStart w:id="273" w:name="_Toc27157"/>
      <w:bookmarkStart w:id="274" w:name="_Toc1676"/>
      <w:bookmarkStart w:id="275" w:name="_Toc4470"/>
      <w:bookmarkStart w:id="276" w:name="_Toc7623"/>
      <w:bookmarkStart w:id="277" w:name="_Toc6030"/>
      <w:bookmarkStart w:id="278" w:name="_Toc23967"/>
      <w:bookmarkStart w:id="279" w:name="_Toc20016"/>
      <w:bookmarkStart w:id="280" w:name="_Toc31630"/>
      <w:bookmarkStart w:id="281" w:name="_Toc12179"/>
      <w:bookmarkStart w:id="282" w:name="_Toc13103"/>
      <w:bookmarkStart w:id="283" w:name="_Toc17656"/>
      <w:bookmarkStart w:id="284" w:name="_Toc26406"/>
      <w:bookmarkStart w:id="285" w:name="_Toc7895"/>
      <w:bookmarkStart w:id="286" w:name="_Toc30383"/>
      <w:bookmarkStart w:id="287" w:name="_Toc17980"/>
      <w:bookmarkStart w:id="288" w:name="_Toc7786"/>
      <w:bookmarkStart w:id="289" w:name="_Toc19250"/>
      <w:bookmarkStart w:id="290" w:name="_Toc22289"/>
      <w:bookmarkStart w:id="291" w:name="_Toc26387"/>
      <w:bookmarkStart w:id="292" w:name="_Toc5402"/>
      <w:bookmarkStart w:id="293" w:name="_Toc1883"/>
      <w:bookmarkStart w:id="294" w:name="_Toc29779"/>
      <w:bookmarkStart w:id="295" w:name="_Toc19476"/>
      <w:bookmarkStart w:id="296" w:name="_Toc6412"/>
      <w:bookmarkStart w:id="297" w:name="_Toc7648"/>
      <w:bookmarkStart w:id="298" w:name="_Toc3292"/>
      <w:bookmarkStart w:id="299" w:name="_Toc73112401"/>
      <w:bookmarkStart w:id="300" w:name="_Toc4217"/>
      <w:r>
        <w:rPr>
          <w:rFonts w:hint="eastAsia" w:ascii="仿宋" w:hAnsi="仿宋" w:eastAsia="仿宋" w:cs="仿宋"/>
          <w:b/>
          <w:bCs/>
          <w:color w:val="000000" w:themeColor="text1"/>
          <w14:textFill>
            <w14:solidFill>
              <w14:schemeClr w14:val="tx1"/>
            </w14:solidFill>
          </w14:textFill>
        </w:rPr>
        <w:t>3技术规范</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24837945">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在基本要求和执行标准基础上，本技术标书对所采购的货物的技术及使用等方面作出如下要求：</w:t>
      </w:r>
    </w:p>
    <w:p w14:paraId="049539EA">
      <w:pPr>
        <w:pStyle w:val="16"/>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w:t>
      </w:r>
      <w:r>
        <w:rPr>
          <w:rFonts w:hint="eastAsia" w:ascii="仿宋" w:hAnsi="仿宋" w:eastAsia="仿宋" w:cs="仿宋"/>
          <w:color w:val="000000" w:themeColor="text1"/>
          <w:lang w:val="en-US" w:eastAsia="zh-CN"/>
          <w14:textFill>
            <w14:solidFill>
              <w14:schemeClr w14:val="tx1"/>
            </w14:solidFill>
          </w14:textFill>
        </w:rPr>
        <w:t>建设位置及</w:t>
      </w:r>
      <w:r>
        <w:rPr>
          <w:rFonts w:hint="eastAsia" w:ascii="仿宋" w:hAnsi="仿宋" w:eastAsia="仿宋" w:cs="仿宋"/>
          <w:color w:val="000000" w:themeColor="text1"/>
          <w14:textFill>
            <w14:solidFill>
              <w14:schemeClr w14:val="tx1"/>
            </w14:solidFill>
          </w14:textFill>
        </w:rPr>
        <w:t>功能用途：</w:t>
      </w:r>
    </w:p>
    <w:p w14:paraId="6157D6D5">
      <w:pPr>
        <w:pStyle w:val="16"/>
        <w:snapToGrid w:val="0"/>
        <w:spacing w:line="360" w:lineRule="auto"/>
        <w:ind w:firstLine="480" w:firstLineChars="200"/>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3.1.1 主减总成产能提升技改项目用柔性吊</w:t>
      </w:r>
    </w:p>
    <w:p w14:paraId="23B8EE04">
      <w:pPr>
        <w:pStyle w:val="16"/>
        <w:snapToGrid w:val="0"/>
        <w:spacing w:line="360" w:lineRule="auto"/>
        <w:ind w:firstLine="480" w:firstLineChars="20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（1）主减速器部新建线主环差环线头，合环线头，合环线尾</w:t>
      </w:r>
      <w:r>
        <w:rPr>
          <w:rFonts w:hint="eastAsia" w:ascii="仿宋" w:hAnsi="仿宋" w:eastAsia="仿宋" w:cs="仿宋"/>
          <w:color w:val="000000" w:themeColor="text1"/>
          <w14:textFill>
            <w14:solidFill>
              <w14:schemeClr w14:val="tx1"/>
            </w14:solidFill>
          </w14:textFill>
        </w:rPr>
        <w:t>柔性吊</w:t>
      </w:r>
      <w:r>
        <w:rPr>
          <w:rFonts w:hint="eastAsia" w:ascii="仿宋" w:hAnsi="仿宋" w:eastAsia="仿宋" w:cs="仿宋"/>
          <w:color w:val="000000" w:themeColor="text1"/>
          <w:lang w:eastAsia="zh-CN"/>
          <w14:textFill>
            <w14:solidFill>
              <w14:schemeClr w14:val="tx1"/>
            </w14:solidFill>
          </w14:textFill>
        </w:rPr>
        <w:t>纵轨</w:t>
      </w:r>
      <w:r>
        <w:rPr>
          <w:rFonts w:hint="eastAsia" w:ascii="仿宋" w:hAnsi="仿宋" w:eastAsia="仿宋" w:cs="仿宋"/>
          <w:color w:val="000000" w:themeColor="text1"/>
          <w:lang w:val="en-US" w:eastAsia="zh-CN"/>
          <w14:textFill>
            <w14:solidFill>
              <w14:schemeClr w14:val="tx1"/>
            </w14:solidFill>
          </w14:textFill>
        </w:rPr>
        <w:t>东西</w:t>
      </w:r>
      <w:r>
        <w:rPr>
          <w:rFonts w:hint="eastAsia" w:ascii="仿宋" w:hAnsi="仿宋" w:eastAsia="仿宋" w:cs="仿宋"/>
          <w:color w:val="000000" w:themeColor="text1"/>
          <w14:textFill>
            <w14:solidFill>
              <w14:schemeClr w14:val="tx1"/>
            </w14:solidFill>
          </w14:textFill>
        </w:rPr>
        <w:t>方向排列，横</w:t>
      </w:r>
      <w:r>
        <w:rPr>
          <w:rFonts w:hint="eastAsia" w:ascii="仿宋" w:hAnsi="仿宋" w:eastAsia="仿宋" w:cs="仿宋"/>
          <w:color w:val="000000" w:themeColor="text1"/>
          <w:lang w:val="en-US" w:eastAsia="zh-CN"/>
          <w14:textFill>
            <w14:solidFill>
              <w14:schemeClr w14:val="tx1"/>
            </w14:solidFill>
          </w14:textFill>
        </w:rPr>
        <w:t>轨南北</w:t>
      </w:r>
      <w:r>
        <w:rPr>
          <w:rFonts w:hint="eastAsia" w:ascii="仿宋" w:hAnsi="仿宋" w:eastAsia="仿宋" w:cs="仿宋"/>
          <w:color w:val="000000" w:themeColor="text1"/>
          <w14:textFill>
            <w14:solidFill>
              <w14:schemeClr w14:val="tx1"/>
            </w14:solidFill>
          </w14:textFill>
        </w:rPr>
        <w:t>方向排列。</w:t>
      </w:r>
      <w:r>
        <w:rPr>
          <w:rFonts w:hint="eastAsia" w:ascii="仿宋" w:hAnsi="仿宋" w:eastAsia="仿宋" w:cs="仿宋"/>
          <w:color w:val="000000" w:themeColor="text1"/>
          <w:lang w:val="en-US" w:eastAsia="zh-CN"/>
          <w14:textFill>
            <w14:solidFill>
              <w14:schemeClr w14:val="tx1"/>
            </w14:solidFill>
          </w14:textFill>
        </w:rPr>
        <w:t>合环线两侧</w:t>
      </w:r>
      <w:r>
        <w:rPr>
          <w:rFonts w:hint="eastAsia" w:ascii="仿宋" w:hAnsi="仿宋" w:eastAsia="仿宋" w:cs="仿宋"/>
          <w:color w:val="000000" w:themeColor="text1"/>
          <w14:textFill>
            <w14:solidFill>
              <w14:schemeClr w14:val="tx1"/>
            </w14:solidFill>
          </w14:textFill>
        </w:rPr>
        <w:t>柔性吊</w:t>
      </w:r>
      <w:r>
        <w:rPr>
          <w:rFonts w:hint="eastAsia" w:ascii="仿宋" w:hAnsi="仿宋" w:eastAsia="仿宋" w:cs="仿宋"/>
          <w:color w:val="000000" w:themeColor="text1"/>
          <w:lang w:eastAsia="zh-CN"/>
          <w14:textFill>
            <w14:solidFill>
              <w14:schemeClr w14:val="tx1"/>
            </w14:solidFill>
          </w14:textFill>
        </w:rPr>
        <w:t>纵轨</w:t>
      </w:r>
      <w:r>
        <w:rPr>
          <w:rFonts w:hint="eastAsia" w:ascii="仿宋" w:hAnsi="仿宋" w:eastAsia="仿宋" w:cs="仿宋"/>
          <w:color w:val="000000" w:themeColor="text1"/>
          <w:lang w:val="en-US" w:eastAsia="zh-CN"/>
          <w14:textFill>
            <w14:solidFill>
              <w14:schemeClr w14:val="tx1"/>
            </w14:solidFill>
          </w14:textFill>
        </w:rPr>
        <w:t>南北</w:t>
      </w:r>
      <w:r>
        <w:rPr>
          <w:rFonts w:hint="eastAsia" w:ascii="仿宋" w:hAnsi="仿宋" w:eastAsia="仿宋" w:cs="仿宋"/>
          <w:color w:val="000000" w:themeColor="text1"/>
          <w14:textFill>
            <w14:solidFill>
              <w14:schemeClr w14:val="tx1"/>
            </w14:solidFill>
          </w14:textFill>
        </w:rPr>
        <w:t>方向排列，横梁</w:t>
      </w:r>
      <w:r>
        <w:rPr>
          <w:rFonts w:hint="eastAsia" w:ascii="仿宋" w:hAnsi="仿宋" w:eastAsia="仿宋" w:cs="仿宋"/>
          <w:color w:val="000000" w:themeColor="text1"/>
          <w:lang w:val="en-US" w:eastAsia="zh-CN"/>
          <w14:textFill>
            <w14:solidFill>
              <w14:schemeClr w14:val="tx1"/>
            </w14:solidFill>
          </w14:textFill>
        </w:rPr>
        <w:t>东西</w:t>
      </w:r>
      <w:r>
        <w:rPr>
          <w:rFonts w:hint="eastAsia" w:ascii="仿宋" w:hAnsi="仿宋" w:eastAsia="仿宋" w:cs="仿宋"/>
          <w:color w:val="000000" w:themeColor="text1"/>
          <w14:textFill>
            <w14:solidFill>
              <w14:schemeClr w14:val="tx1"/>
            </w14:solidFill>
          </w14:textFill>
        </w:rPr>
        <w:t>方向排列。用于</w:t>
      </w:r>
      <w:r>
        <w:rPr>
          <w:rFonts w:hint="eastAsia" w:ascii="仿宋" w:hAnsi="仿宋" w:eastAsia="仿宋" w:cs="仿宋"/>
          <w:color w:val="000000" w:themeColor="text1"/>
          <w:lang w:val="en-US" w:eastAsia="zh-CN"/>
          <w14:textFill>
            <w14:solidFill>
              <w14:schemeClr w14:val="tx1"/>
            </w14:solidFill>
          </w14:textFill>
        </w:rPr>
        <w:t>主减速器总成及装配零部件</w:t>
      </w:r>
      <w:r>
        <w:rPr>
          <w:rFonts w:hint="eastAsia" w:ascii="仿宋" w:hAnsi="仿宋" w:eastAsia="仿宋" w:cs="仿宋"/>
          <w:color w:val="000000" w:themeColor="text1"/>
          <w14:textFill>
            <w14:solidFill>
              <w14:schemeClr w14:val="tx1"/>
            </w14:solidFill>
          </w14:textFill>
        </w:rPr>
        <w:t>的</w:t>
      </w:r>
      <w:r>
        <w:rPr>
          <w:rFonts w:hint="eastAsia" w:ascii="仿宋" w:hAnsi="仿宋" w:eastAsia="仿宋" w:cs="仿宋"/>
          <w:color w:val="000000" w:themeColor="text1"/>
          <w:lang w:val="en-US" w:eastAsia="zh-CN"/>
          <w14:textFill>
            <w14:solidFill>
              <w14:schemeClr w14:val="tx1"/>
            </w14:solidFill>
          </w14:textFill>
        </w:rPr>
        <w:t>上下料</w:t>
      </w:r>
      <w:r>
        <w:rPr>
          <w:rFonts w:hint="eastAsia" w:ascii="仿宋" w:hAnsi="仿宋" w:eastAsia="仿宋" w:cs="仿宋"/>
          <w:color w:val="000000" w:themeColor="text1"/>
          <w14:textFill>
            <w14:solidFill>
              <w14:schemeClr w14:val="tx1"/>
            </w14:solidFill>
          </w14:textFill>
        </w:rPr>
        <w:t>吊运</w:t>
      </w:r>
      <w:r>
        <w:rPr>
          <w:rFonts w:hint="eastAsia" w:ascii="仿宋" w:hAnsi="仿宋" w:eastAsia="仿宋" w:cs="仿宋"/>
          <w:color w:val="000000" w:themeColor="text1"/>
          <w:lang w:eastAsia="zh-CN"/>
          <w14:textFill>
            <w14:solidFill>
              <w14:schemeClr w14:val="tx1"/>
            </w14:solidFill>
          </w14:textFill>
        </w:rPr>
        <w:t>。</w:t>
      </w:r>
    </w:p>
    <w:p w14:paraId="1F548085">
      <w:pPr>
        <w:pStyle w:val="16"/>
        <w:snapToGrid w:val="0"/>
        <w:spacing w:line="360" w:lineRule="auto"/>
        <w:ind w:firstLine="480" w:firstLineChars="200"/>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在主减装配新建生产线合环线临北方向KBK轨道处安装三台500KG级别的柔性吊葫芦，在合环线东二台，西二台，南三台以及主环差环线头三台，共计十台均为250KG级别柔性吊葫芦。</w:t>
      </w:r>
    </w:p>
    <w:p w14:paraId="7199C152">
      <w:pPr>
        <w:pStyle w:val="16"/>
        <w:snapToGrid w:val="0"/>
        <w:spacing w:line="360" w:lineRule="auto"/>
        <w:ind w:firstLine="480" w:firstLineChars="200"/>
        <w:jc w:val="center"/>
      </w:pPr>
      <w:r>
        <w:drawing>
          <wp:inline distT="0" distB="0" distL="114300" distR="114300">
            <wp:extent cx="2982595" cy="4385945"/>
            <wp:effectExtent l="9525" t="9525" r="17780"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2982595" cy="4385945"/>
                    </a:xfrm>
                    <a:prstGeom prst="rect">
                      <a:avLst/>
                    </a:prstGeom>
                    <a:noFill/>
                    <a:ln>
                      <a:solidFill>
                        <a:schemeClr val="tx1"/>
                      </a:solidFill>
                    </a:ln>
                  </pic:spPr>
                </pic:pic>
              </a:graphicData>
            </a:graphic>
          </wp:inline>
        </w:drawing>
      </w:r>
    </w:p>
    <w:p w14:paraId="29634B83">
      <w:pPr>
        <w:pStyle w:val="16"/>
        <w:snapToGrid w:val="0"/>
        <w:spacing w:line="360" w:lineRule="auto"/>
        <w:ind w:firstLine="480" w:firstLineChars="20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（2）建设方案要求：</w:t>
      </w:r>
    </w:p>
    <w:p w14:paraId="6D682675">
      <w:pPr>
        <w:pStyle w:val="1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主环线差环线线头（南侧）：KBK轨道安装两列12M的纵梁，三列4.5米横梁，三列横梁上加装三台0.25T环链电动葫芦以及滑车、集电器、限位、支架等柔性吊必需附件；</w:t>
      </w:r>
    </w:p>
    <w:p w14:paraId="49FD62AD">
      <w:pPr>
        <w:pStyle w:val="1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合环线线头（南侧）：KBK轨道安装两列12M的纵梁，三列4.5米横梁，三列横梁上加装三台0.25T环链电动葫芦以及滑车、集电器、限位、支架等柔性吊必需附件；纵轨固定在线体上方钢结构上；</w:t>
      </w:r>
    </w:p>
    <w:p w14:paraId="6D0C087E">
      <w:pPr>
        <w:pStyle w:val="1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合环线线尾（北侧）：KBK轨道安装两列12M的纵梁，三列4.5米横梁，三列横梁上加装三台0.5T环链电动葫芦以及滑车、集电器、限位、支架等柔性吊必需附件；</w:t>
      </w:r>
    </w:p>
    <w:p w14:paraId="03687FB0">
      <w:pPr>
        <w:pStyle w:val="1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合环线东西两侧：KBK轨道安装共计安装四列10M的纵梁，四列4.5米横梁，四列横梁上加装四台0.25T环链电动葫芦以及滑车、集电器、限位、支架等柔性吊必需附件。</w:t>
      </w:r>
    </w:p>
    <w:tbl>
      <w:tblPr>
        <w:tblStyle w:val="30"/>
        <w:tblW w:w="76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95"/>
        <w:gridCol w:w="1066"/>
        <w:gridCol w:w="5"/>
        <w:gridCol w:w="1016"/>
        <w:gridCol w:w="5"/>
        <w:gridCol w:w="893"/>
        <w:gridCol w:w="1040"/>
        <w:gridCol w:w="1132"/>
        <w:gridCol w:w="1063"/>
      </w:tblGrid>
      <w:tr w14:paraId="21CF5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376F6F4">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lang w:val="en-US" w:eastAsia="zh-CN"/>
              </w:rPr>
            </w:pPr>
            <w:r>
              <w:rPr>
                <w:rFonts w:hint="eastAsia" w:ascii="仿宋" w:hAnsi="仿宋" w:eastAsia="仿宋" w:cs="仿宋"/>
                <w:color w:val="000000"/>
                <w:sz w:val="21"/>
                <w:szCs w:val="21"/>
                <w:lang w:val="en-US" w:eastAsia="zh-CN"/>
              </w:rPr>
              <w:t>安装位置</w:t>
            </w:r>
          </w:p>
        </w:tc>
        <w:tc>
          <w:tcPr>
            <w:tcW w:w="106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3ACEEF06">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规格</w:t>
            </w:r>
          </w:p>
        </w:tc>
        <w:tc>
          <w:tcPr>
            <w:tcW w:w="1919" w:type="dxa"/>
            <w:gridSpan w:val="4"/>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8312D53">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纵轨</w:t>
            </w:r>
          </w:p>
        </w:tc>
        <w:tc>
          <w:tcPr>
            <w:tcW w:w="217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D77957D">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横轨</w:t>
            </w:r>
          </w:p>
        </w:tc>
        <w:tc>
          <w:tcPr>
            <w:tcW w:w="1063" w:type="dxa"/>
            <w:vMerge w:val="restart"/>
            <w:tcBorders>
              <w:top w:val="single" w:color="000000" w:sz="4" w:space="0"/>
              <w:left w:val="single" w:color="000000" w:sz="4" w:space="0"/>
              <w:right w:val="single" w:color="000000" w:sz="4" w:space="0"/>
            </w:tcBorders>
            <w:shd w:val="clear" w:color="auto" w:fill="auto"/>
            <w:tcMar>
              <w:top w:w="12" w:type="dxa"/>
              <w:left w:w="12" w:type="dxa"/>
              <w:bottom w:w="72" w:type="dxa"/>
              <w:right w:w="12" w:type="dxa"/>
            </w:tcMar>
            <w:vAlign w:val="center"/>
          </w:tcPr>
          <w:p w14:paraId="6B5EE28B">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环链</w:t>
            </w:r>
          </w:p>
          <w:p w14:paraId="04E7D66D">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吊葫芦</w:t>
            </w:r>
          </w:p>
          <w:p w14:paraId="2E4EC459">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/挂</w:t>
            </w:r>
          </w:p>
        </w:tc>
      </w:tr>
      <w:tr w14:paraId="30D62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F452C7E">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p>
        </w:tc>
        <w:tc>
          <w:tcPr>
            <w:tcW w:w="10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75269D4F">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785C5B3">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长度/m</w:t>
            </w:r>
          </w:p>
        </w:tc>
        <w:tc>
          <w:tcPr>
            <w:tcW w:w="89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73B9427F">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跨距/m</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A4B6C94">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数量/根</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BE394D3">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长</w:t>
            </w:r>
            <w:r>
              <w:rPr>
                <w:rFonts w:hint="eastAsia" w:ascii="仿宋" w:hAnsi="仿宋" w:eastAsia="仿宋" w:cs="仿宋"/>
                <w:color w:val="000000"/>
                <w:sz w:val="21"/>
                <w:szCs w:val="21"/>
                <w:lang w:val="en-US" w:eastAsia="zh-CN"/>
              </w:rPr>
              <w:t>：</w:t>
            </w:r>
            <w:r>
              <w:rPr>
                <w:rFonts w:hint="eastAsia" w:ascii="仿宋" w:hAnsi="仿宋" w:eastAsia="仿宋" w:cs="仿宋"/>
                <w:color w:val="000000"/>
                <w:sz w:val="21"/>
                <w:szCs w:val="21"/>
              </w:rPr>
              <w:t>m/根</w:t>
            </w:r>
          </w:p>
        </w:tc>
        <w:tc>
          <w:tcPr>
            <w:tcW w:w="1063" w:type="dxa"/>
            <w:vMerge w:val="continue"/>
            <w:tcBorders>
              <w:left w:val="single" w:color="000000" w:sz="4" w:space="0"/>
              <w:right w:val="single" w:color="000000" w:sz="4" w:space="0"/>
            </w:tcBorders>
            <w:shd w:val="clear" w:color="auto" w:fill="auto"/>
            <w:tcMar>
              <w:top w:w="12" w:type="dxa"/>
              <w:left w:w="12" w:type="dxa"/>
              <w:bottom w:w="72" w:type="dxa"/>
              <w:right w:w="12" w:type="dxa"/>
            </w:tcMar>
            <w:vAlign w:val="center"/>
          </w:tcPr>
          <w:p w14:paraId="67B8336A">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p>
        </w:tc>
      </w:tr>
      <w:tr w14:paraId="3DB15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B9B4D12">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themeColor="text1"/>
                <w:sz w:val="21"/>
                <w:szCs w:val="21"/>
                <w:lang w:val="en-US" w:eastAsia="zh-CN"/>
                <w14:textFill>
                  <w14:solidFill>
                    <w14:schemeClr w14:val="tx1"/>
                  </w14:solidFill>
                </w14:textFill>
              </w:rPr>
              <w:t>主环线差环线线头（南侧）</w:t>
            </w:r>
          </w:p>
        </w:tc>
        <w:tc>
          <w:tcPr>
            <w:tcW w:w="10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816671F">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250Kg</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022F143">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lang w:val="en-US" w:eastAsia="zh-CN"/>
              </w:rPr>
            </w:pPr>
            <w:r>
              <w:rPr>
                <w:rFonts w:hint="eastAsia" w:ascii="仿宋" w:hAnsi="仿宋" w:eastAsia="仿宋" w:cs="仿宋"/>
                <w:color w:val="000000"/>
                <w:sz w:val="21"/>
                <w:szCs w:val="21"/>
              </w:rPr>
              <w:t>2×</w:t>
            </w:r>
            <w:r>
              <w:rPr>
                <w:rFonts w:hint="eastAsia" w:ascii="仿宋" w:hAnsi="仿宋" w:eastAsia="仿宋" w:cs="仿宋"/>
                <w:color w:val="000000"/>
                <w:sz w:val="21"/>
                <w:szCs w:val="21"/>
                <w:lang w:val="en-US" w:eastAsia="zh-CN"/>
              </w:rPr>
              <w:t>12</w:t>
            </w:r>
          </w:p>
        </w:tc>
        <w:tc>
          <w:tcPr>
            <w:tcW w:w="89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535D947">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highlight w:val="none"/>
                <w:lang w:eastAsia="zh-CN"/>
              </w:rPr>
            </w:pPr>
            <w:r>
              <w:rPr>
                <w:rFonts w:hint="eastAsia" w:ascii="仿宋" w:hAnsi="仿宋" w:eastAsia="仿宋" w:cs="仿宋"/>
                <w:color w:val="000000"/>
                <w:sz w:val="21"/>
                <w:szCs w:val="21"/>
                <w:highlight w:val="none"/>
                <w:lang w:val="en-US" w:eastAsia="zh-CN"/>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7D7AEBE8">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highlight w:val="none"/>
                <w:lang w:eastAsia="zh-CN"/>
              </w:rPr>
            </w:pPr>
            <w:r>
              <w:rPr>
                <w:rFonts w:hint="eastAsia" w:ascii="仿宋" w:hAnsi="仿宋" w:eastAsia="仿宋" w:cs="仿宋"/>
                <w:color w:val="000000"/>
                <w:sz w:val="21"/>
                <w:szCs w:val="21"/>
                <w:highlight w:val="none"/>
                <w:lang w:val="en-US" w:eastAsia="zh-CN"/>
              </w:rPr>
              <w:t>3</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AC5BCB0">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color w:val="000000"/>
                <w:sz w:val="21"/>
                <w:szCs w:val="21"/>
                <w:highlight w:val="none"/>
                <w:lang w:val="en-US" w:eastAsia="zh-CN"/>
              </w:rPr>
              <w:t>4.5</w:t>
            </w:r>
          </w:p>
        </w:tc>
        <w:tc>
          <w:tcPr>
            <w:tcW w:w="10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364B3ED7">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3</w:t>
            </w:r>
          </w:p>
        </w:tc>
      </w:tr>
      <w:tr w14:paraId="3DA06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7BB09ABF">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themeColor="text1"/>
                <w:lang w:val="en-US" w:eastAsia="zh-CN"/>
                <w14:textFill>
                  <w14:solidFill>
                    <w14:schemeClr w14:val="tx1"/>
                  </w14:solidFill>
                </w14:textFill>
              </w:rPr>
              <w:t>合环线线头（南侧）</w:t>
            </w:r>
          </w:p>
        </w:tc>
        <w:tc>
          <w:tcPr>
            <w:tcW w:w="10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3D2F905">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250Kg</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7A8B2F43">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lang w:eastAsia="zh-CN"/>
              </w:rPr>
            </w:pPr>
            <w:r>
              <w:rPr>
                <w:rFonts w:hint="eastAsia" w:ascii="仿宋" w:hAnsi="仿宋" w:eastAsia="仿宋" w:cs="仿宋"/>
                <w:color w:val="000000"/>
                <w:sz w:val="21"/>
                <w:szCs w:val="21"/>
              </w:rPr>
              <w:t>2×</w:t>
            </w:r>
            <w:r>
              <w:rPr>
                <w:rFonts w:hint="eastAsia" w:ascii="仿宋" w:hAnsi="仿宋" w:eastAsia="仿宋" w:cs="仿宋"/>
                <w:color w:val="000000"/>
                <w:sz w:val="21"/>
                <w:szCs w:val="21"/>
                <w:lang w:val="en-US" w:eastAsia="zh-CN"/>
              </w:rPr>
              <w:t>12</w:t>
            </w:r>
          </w:p>
        </w:tc>
        <w:tc>
          <w:tcPr>
            <w:tcW w:w="89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78D9F18B">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highlight w:val="none"/>
                <w:lang w:eastAsia="zh-CN"/>
              </w:rPr>
            </w:pPr>
            <w:r>
              <w:rPr>
                <w:rFonts w:hint="eastAsia" w:ascii="仿宋" w:hAnsi="仿宋" w:eastAsia="仿宋" w:cs="仿宋"/>
                <w:color w:val="000000"/>
                <w:sz w:val="21"/>
                <w:szCs w:val="21"/>
                <w:highlight w:val="none"/>
                <w:lang w:val="en-US" w:eastAsia="zh-CN"/>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7C958D3">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3</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D101F6D">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4.5</w:t>
            </w:r>
          </w:p>
        </w:tc>
        <w:tc>
          <w:tcPr>
            <w:tcW w:w="10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65BEA3D">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3</w:t>
            </w:r>
          </w:p>
        </w:tc>
      </w:tr>
      <w:tr w14:paraId="160F0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205415F">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合环线线尾（北侧）</w:t>
            </w:r>
          </w:p>
        </w:tc>
        <w:tc>
          <w:tcPr>
            <w:tcW w:w="10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2E73EC13">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500kg</w:t>
            </w:r>
          </w:p>
        </w:tc>
        <w:tc>
          <w:tcPr>
            <w:tcW w:w="102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6E38789">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仿宋" w:hAnsi="仿宋" w:eastAsia="仿宋" w:cs="仿宋"/>
                <w:kern w:val="0"/>
                <w:sz w:val="21"/>
                <w:szCs w:val="21"/>
                <w:lang w:val="en-US" w:eastAsia="zh-CN" w:bidi="ar"/>
              </w:rPr>
            </w:pPr>
            <w:r>
              <w:rPr>
                <w:rFonts w:hint="eastAsia" w:ascii="仿宋" w:hAnsi="仿宋" w:eastAsia="仿宋" w:cs="仿宋"/>
                <w:color w:val="000000"/>
                <w:sz w:val="21"/>
                <w:szCs w:val="21"/>
              </w:rPr>
              <w:t>2×</w:t>
            </w:r>
            <w:r>
              <w:rPr>
                <w:rFonts w:hint="eastAsia" w:ascii="仿宋" w:hAnsi="仿宋" w:eastAsia="仿宋" w:cs="仿宋"/>
                <w:color w:val="000000"/>
                <w:sz w:val="21"/>
                <w:szCs w:val="21"/>
                <w:lang w:val="en-US" w:eastAsia="zh-CN"/>
              </w:rPr>
              <w:t>12</w:t>
            </w:r>
          </w:p>
        </w:tc>
        <w:tc>
          <w:tcPr>
            <w:tcW w:w="898"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22F24F51">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仿宋" w:hAnsi="仿宋" w:eastAsia="仿宋" w:cs="仿宋"/>
                <w:kern w:val="0"/>
                <w:sz w:val="21"/>
                <w:szCs w:val="21"/>
                <w:highlight w:val="none"/>
                <w:lang w:val="en-US" w:eastAsia="zh-CN" w:bidi="ar"/>
              </w:rPr>
            </w:pPr>
            <w:r>
              <w:rPr>
                <w:rFonts w:hint="eastAsia" w:ascii="仿宋" w:hAnsi="仿宋" w:eastAsia="仿宋" w:cs="仿宋"/>
                <w:color w:val="000000"/>
                <w:sz w:val="21"/>
                <w:szCs w:val="21"/>
                <w:highlight w:val="none"/>
                <w:lang w:val="en-US" w:eastAsia="zh-CN"/>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3F5514BF">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仿宋" w:hAnsi="仿宋" w:eastAsia="仿宋" w:cs="仿宋"/>
                <w:kern w:val="0"/>
                <w:sz w:val="21"/>
                <w:szCs w:val="21"/>
                <w:highlight w:val="none"/>
                <w:lang w:val="en-US" w:eastAsia="zh-CN" w:bidi="ar"/>
              </w:rPr>
            </w:pPr>
            <w:r>
              <w:rPr>
                <w:rFonts w:hint="eastAsia" w:ascii="仿宋" w:hAnsi="仿宋" w:eastAsia="仿宋" w:cs="仿宋"/>
                <w:color w:val="000000"/>
                <w:sz w:val="21"/>
                <w:szCs w:val="21"/>
                <w:highlight w:val="none"/>
                <w:lang w:val="en-US" w:eastAsia="zh-CN"/>
              </w:rPr>
              <w:t>3</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C5A1B23">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仿宋" w:hAnsi="仿宋" w:eastAsia="仿宋" w:cs="仿宋"/>
                <w:kern w:val="0"/>
                <w:sz w:val="21"/>
                <w:szCs w:val="21"/>
                <w:highlight w:val="none"/>
                <w:lang w:val="en-US" w:eastAsia="zh-CN" w:bidi="ar"/>
              </w:rPr>
            </w:pPr>
            <w:r>
              <w:rPr>
                <w:rFonts w:hint="eastAsia" w:ascii="仿宋" w:hAnsi="仿宋" w:eastAsia="仿宋" w:cs="仿宋"/>
                <w:color w:val="000000"/>
                <w:sz w:val="21"/>
                <w:szCs w:val="21"/>
                <w:highlight w:val="none"/>
                <w:lang w:val="en-US" w:eastAsia="zh-CN"/>
              </w:rPr>
              <w:t>4.5</w:t>
            </w:r>
          </w:p>
        </w:tc>
        <w:tc>
          <w:tcPr>
            <w:tcW w:w="10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A95217F">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仿宋" w:hAnsi="仿宋" w:eastAsia="仿宋" w:cs="仿宋"/>
                <w:kern w:val="0"/>
                <w:sz w:val="21"/>
                <w:szCs w:val="21"/>
                <w:lang w:val="en-US" w:eastAsia="zh-CN" w:bidi="ar"/>
              </w:rPr>
            </w:pPr>
            <w:r>
              <w:rPr>
                <w:rFonts w:hint="eastAsia" w:ascii="仿宋" w:hAnsi="仿宋" w:eastAsia="仿宋" w:cs="仿宋"/>
                <w:color w:val="000000"/>
                <w:sz w:val="21"/>
                <w:szCs w:val="21"/>
                <w:lang w:val="en-US" w:eastAsia="zh-CN"/>
              </w:rPr>
              <w:t>3</w:t>
            </w:r>
          </w:p>
        </w:tc>
      </w:tr>
      <w:tr w14:paraId="0791B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32AFB4B7">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合环线东西两侧</w:t>
            </w:r>
          </w:p>
        </w:tc>
        <w:tc>
          <w:tcPr>
            <w:tcW w:w="1066" w:type="dxa"/>
            <w:tcBorders>
              <w:top w:val="single" w:color="000000" w:sz="4" w:space="0"/>
              <w:left w:val="single" w:color="000000" w:sz="4" w:space="0"/>
              <w:bottom w:val="single" w:color="000000" w:sz="4" w:space="0"/>
              <w:right w:val="single" w:color="auto" w:sz="4" w:space="0"/>
            </w:tcBorders>
            <w:shd w:val="clear" w:color="auto" w:fill="auto"/>
            <w:tcMar>
              <w:top w:w="12" w:type="dxa"/>
              <w:left w:w="12" w:type="dxa"/>
              <w:bottom w:w="72" w:type="dxa"/>
              <w:right w:w="12" w:type="dxa"/>
            </w:tcMar>
            <w:vAlign w:val="center"/>
          </w:tcPr>
          <w:p w14:paraId="785757EA">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仿宋" w:hAnsi="仿宋" w:eastAsia="仿宋" w:cs="仿宋"/>
                <w:kern w:val="0"/>
                <w:sz w:val="21"/>
                <w:szCs w:val="21"/>
                <w:lang w:val="en-US" w:eastAsia="zh-CN" w:bidi="ar"/>
              </w:rPr>
            </w:pPr>
            <w:r>
              <w:rPr>
                <w:rFonts w:hint="eastAsia" w:ascii="仿宋" w:hAnsi="仿宋" w:eastAsia="仿宋" w:cs="仿宋"/>
                <w:color w:val="000000"/>
                <w:sz w:val="21"/>
                <w:szCs w:val="21"/>
              </w:rPr>
              <w:t>250Kg</w:t>
            </w:r>
          </w:p>
        </w:tc>
        <w:tc>
          <w:tcPr>
            <w:tcW w:w="1021" w:type="dxa"/>
            <w:gridSpan w:val="2"/>
            <w:tcBorders>
              <w:top w:val="single" w:color="000000" w:sz="4" w:space="0"/>
              <w:left w:val="single" w:color="auto" w:sz="4" w:space="0"/>
              <w:bottom w:val="single" w:color="000000" w:sz="4" w:space="0"/>
              <w:right w:val="single" w:color="auto" w:sz="4" w:space="0"/>
            </w:tcBorders>
            <w:shd w:val="clear" w:color="auto" w:fill="auto"/>
            <w:tcMar>
              <w:top w:w="12" w:type="dxa"/>
              <w:left w:w="12" w:type="dxa"/>
              <w:bottom w:w="72" w:type="dxa"/>
              <w:right w:w="12" w:type="dxa"/>
            </w:tcMar>
            <w:vAlign w:val="center"/>
          </w:tcPr>
          <w:p w14:paraId="48F2FB44">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default" w:ascii="仿宋" w:hAnsi="仿宋" w:eastAsia="仿宋" w:cs="仿宋"/>
                <w:kern w:val="0"/>
                <w:sz w:val="21"/>
                <w:szCs w:val="21"/>
                <w:lang w:val="en-US" w:eastAsia="zh-CN" w:bidi="ar"/>
              </w:rPr>
            </w:pPr>
            <w:r>
              <w:rPr>
                <w:rFonts w:hint="eastAsia" w:ascii="仿宋" w:hAnsi="仿宋" w:eastAsia="仿宋" w:cs="仿宋"/>
                <w:color w:val="000000"/>
                <w:sz w:val="21"/>
                <w:szCs w:val="21"/>
              </w:rPr>
              <w:t>2×</w:t>
            </w:r>
            <w:r>
              <w:rPr>
                <w:rFonts w:hint="eastAsia" w:ascii="仿宋" w:hAnsi="仿宋" w:eastAsia="仿宋" w:cs="仿宋"/>
                <w:color w:val="000000"/>
                <w:sz w:val="21"/>
                <w:szCs w:val="21"/>
                <w:lang w:val="en-US" w:eastAsia="zh-CN"/>
              </w:rPr>
              <w:t>10×2</w:t>
            </w:r>
          </w:p>
        </w:tc>
        <w:tc>
          <w:tcPr>
            <w:tcW w:w="898" w:type="dxa"/>
            <w:gridSpan w:val="2"/>
            <w:tcBorders>
              <w:top w:val="single" w:color="000000" w:sz="4" w:space="0"/>
              <w:left w:val="single" w:color="auto"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BAAFEBC">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default" w:ascii="仿宋" w:hAnsi="仿宋" w:eastAsia="仿宋" w:cs="仿宋"/>
                <w:kern w:val="0"/>
                <w:sz w:val="21"/>
                <w:szCs w:val="21"/>
                <w:highlight w:val="none"/>
                <w:lang w:val="en-US" w:eastAsia="zh-CN" w:bidi="ar"/>
              </w:rPr>
            </w:pPr>
            <w:r>
              <w:rPr>
                <w:rFonts w:hint="eastAsia" w:ascii="仿宋" w:hAnsi="仿宋" w:eastAsia="仿宋" w:cs="仿宋"/>
                <w:kern w:val="0"/>
                <w:sz w:val="21"/>
                <w:szCs w:val="21"/>
                <w:highlight w:val="none"/>
                <w:lang w:val="en-US" w:eastAsia="zh-CN" w:bidi="ar"/>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8096C6D">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仿宋" w:hAnsi="仿宋" w:eastAsia="仿宋" w:cs="仿宋"/>
                <w:kern w:val="0"/>
                <w:sz w:val="21"/>
                <w:szCs w:val="21"/>
                <w:lang w:val="en-US" w:eastAsia="zh-CN" w:bidi="ar"/>
              </w:rPr>
            </w:pPr>
            <w:r>
              <w:rPr>
                <w:rFonts w:hint="eastAsia" w:ascii="仿宋" w:hAnsi="仿宋" w:eastAsia="仿宋" w:cs="仿宋"/>
                <w:color w:val="000000"/>
                <w:sz w:val="21"/>
                <w:szCs w:val="21"/>
                <w:lang w:val="en-US" w:eastAsia="zh-CN"/>
              </w:rPr>
              <w:t>4</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3088067A">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default" w:ascii="仿宋" w:hAnsi="仿宋" w:eastAsia="仿宋" w:cs="仿宋"/>
                <w:kern w:val="0"/>
                <w:sz w:val="21"/>
                <w:szCs w:val="21"/>
                <w:lang w:val="en-US" w:eastAsia="zh-CN" w:bidi="ar"/>
              </w:rPr>
            </w:pPr>
            <w:r>
              <w:rPr>
                <w:rFonts w:hint="eastAsia" w:ascii="仿宋" w:hAnsi="仿宋" w:eastAsia="仿宋" w:cs="仿宋"/>
                <w:kern w:val="0"/>
                <w:sz w:val="21"/>
                <w:szCs w:val="21"/>
                <w:lang w:val="en-US" w:eastAsia="zh-CN" w:bidi="ar"/>
              </w:rPr>
              <w:t>4.5</w:t>
            </w:r>
          </w:p>
        </w:tc>
        <w:tc>
          <w:tcPr>
            <w:tcW w:w="10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8DCD8C0">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仿宋" w:hAnsi="仿宋" w:eastAsia="仿宋" w:cs="仿宋"/>
                <w:kern w:val="0"/>
                <w:sz w:val="21"/>
                <w:szCs w:val="21"/>
                <w:lang w:val="en-US" w:eastAsia="zh-CN" w:bidi="ar"/>
              </w:rPr>
            </w:pPr>
            <w:r>
              <w:rPr>
                <w:rFonts w:hint="eastAsia" w:ascii="仿宋" w:hAnsi="仿宋" w:eastAsia="仿宋" w:cs="仿宋"/>
                <w:color w:val="000000"/>
                <w:sz w:val="21"/>
                <w:szCs w:val="21"/>
                <w:lang w:val="en-US" w:eastAsia="zh-CN"/>
              </w:rPr>
              <w:t>4</w:t>
            </w:r>
          </w:p>
        </w:tc>
      </w:tr>
      <w:tr w14:paraId="6FE86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2466" w:type="dxa"/>
            <w:gridSpan w:val="3"/>
            <w:tcBorders>
              <w:top w:val="single" w:color="000000" w:sz="4" w:space="0"/>
              <w:left w:val="single" w:color="000000" w:sz="4" w:space="0"/>
              <w:bottom w:val="single" w:color="000000" w:sz="4" w:space="0"/>
              <w:right w:val="single" w:color="auto" w:sz="4" w:space="0"/>
            </w:tcBorders>
            <w:shd w:val="clear" w:color="auto" w:fill="auto"/>
            <w:tcMar>
              <w:top w:w="12" w:type="dxa"/>
              <w:left w:w="12" w:type="dxa"/>
              <w:bottom w:w="72" w:type="dxa"/>
              <w:right w:w="12" w:type="dxa"/>
            </w:tcMar>
            <w:vAlign w:val="center"/>
          </w:tcPr>
          <w:p w14:paraId="484EB644">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合计</w:t>
            </w:r>
          </w:p>
        </w:tc>
        <w:tc>
          <w:tcPr>
            <w:tcW w:w="1021" w:type="dxa"/>
            <w:gridSpan w:val="2"/>
            <w:tcBorders>
              <w:top w:val="single" w:color="000000" w:sz="4" w:space="0"/>
              <w:left w:val="single" w:color="auto" w:sz="4" w:space="0"/>
              <w:bottom w:val="single" w:color="000000" w:sz="4" w:space="0"/>
              <w:right w:val="single" w:color="auto" w:sz="4" w:space="0"/>
            </w:tcBorders>
            <w:shd w:val="clear" w:color="auto" w:fill="auto"/>
            <w:tcMar>
              <w:top w:w="12" w:type="dxa"/>
              <w:left w:w="12" w:type="dxa"/>
              <w:bottom w:w="72" w:type="dxa"/>
              <w:right w:w="12" w:type="dxa"/>
            </w:tcMar>
            <w:vAlign w:val="center"/>
          </w:tcPr>
          <w:p w14:paraId="34358364">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112</w:t>
            </w:r>
          </w:p>
        </w:tc>
        <w:tc>
          <w:tcPr>
            <w:tcW w:w="893" w:type="dxa"/>
            <w:tcBorders>
              <w:top w:val="single" w:color="000000" w:sz="4" w:space="0"/>
              <w:left w:val="single" w:color="auto"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C9AE4C2">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000000"/>
                <w:sz w:val="21"/>
                <w:szCs w:val="21"/>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146725A">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lang w:val="en-US" w:eastAsia="zh-CN"/>
              </w:rPr>
            </w:pPr>
            <w:r>
              <w:rPr>
                <w:rFonts w:hint="eastAsia" w:ascii="仿宋" w:hAnsi="仿宋" w:eastAsia="仿宋" w:cs="仿宋"/>
                <w:color w:val="000000"/>
                <w:sz w:val="21"/>
                <w:szCs w:val="21"/>
                <w:lang w:val="en-US" w:eastAsia="zh-CN"/>
              </w:rPr>
              <w:t>13</w:t>
            </w:r>
          </w:p>
        </w:tc>
        <w:tc>
          <w:tcPr>
            <w:tcW w:w="113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99FC6D8">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58.3</w:t>
            </w:r>
          </w:p>
        </w:tc>
        <w:tc>
          <w:tcPr>
            <w:tcW w:w="106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CAE4C0C">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lang w:val="en-US" w:eastAsia="zh-CN"/>
              </w:rPr>
            </w:pPr>
            <w:r>
              <w:rPr>
                <w:rFonts w:hint="eastAsia" w:ascii="仿宋" w:hAnsi="仿宋" w:eastAsia="仿宋" w:cs="仿宋"/>
                <w:color w:val="000000"/>
                <w:sz w:val="21"/>
                <w:szCs w:val="21"/>
                <w:lang w:val="en-US" w:eastAsia="zh-CN"/>
              </w:rPr>
              <w:t>13</w:t>
            </w:r>
          </w:p>
        </w:tc>
      </w:tr>
      <w:tr w14:paraId="41F7B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7615" w:type="dxa"/>
            <w:gridSpan w:val="9"/>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64CEC29">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left"/>
              <w:textAlignment w:val="auto"/>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注：采用II型结构，高度约4M。</w:t>
            </w:r>
          </w:p>
        </w:tc>
      </w:tr>
    </w:tbl>
    <w:p w14:paraId="5561A632">
      <w:pPr>
        <w:pStyle w:val="16"/>
        <w:snapToGrid w:val="0"/>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3.1.2 轮毂总成装配产能提升技改项目</w:t>
      </w:r>
    </w:p>
    <w:p w14:paraId="03742C1E">
      <w:pPr>
        <w:pStyle w:val="16"/>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（1）轮毂总成装配线</w:t>
      </w:r>
      <w:r>
        <w:rPr>
          <w:rFonts w:hint="eastAsia" w:ascii="仿宋" w:hAnsi="仿宋" w:eastAsia="仿宋" w:cs="仿宋"/>
          <w:color w:val="auto"/>
          <w:highlight w:val="none"/>
        </w:rPr>
        <w:t>柔性吊</w:t>
      </w:r>
      <w:r>
        <w:rPr>
          <w:rFonts w:hint="eastAsia" w:ascii="仿宋" w:hAnsi="仿宋" w:eastAsia="仿宋" w:cs="仿宋"/>
          <w:color w:val="auto"/>
          <w:highlight w:val="none"/>
          <w:lang w:eastAsia="zh-CN"/>
        </w:rPr>
        <w:t>纵轨</w:t>
      </w:r>
      <w:r>
        <w:rPr>
          <w:rFonts w:hint="eastAsia" w:ascii="仿宋" w:hAnsi="仿宋" w:eastAsia="仿宋" w:cs="仿宋"/>
          <w:color w:val="auto"/>
          <w:highlight w:val="none"/>
          <w:lang w:val="en-US" w:eastAsia="zh-CN"/>
        </w:rPr>
        <w:t>东西</w:t>
      </w:r>
      <w:r>
        <w:rPr>
          <w:rFonts w:hint="eastAsia" w:ascii="仿宋" w:hAnsi="仿宋" w:eastAsia="仿宋" w:cs="仿宋"/>
          <w:color w:val="auto"/>
          <w:highlight w:val="none"/>
        </w:rPr>
        <w:t>方向排列，横</w:t>
      </w:r>
      <w:r>
        <w:rPr>
          <w:rFonts w:hint="eastAsia" w:ascii="仿宋" w:hAnsi="仿宋" w:eastAsia="仿宋" w:cs="仿宋"/>
          <w:color w:val="auto"/>
          <w:highlight w:val="none"/>
          <w:lang w:val="en-US" w:eastAsia="zh-CN"/>
        </w:rPr>
        <w:t>轨南北</w:t>
      </w:r>
      <w:r>
        <w:rPr>
          <w:rFonts w:hint="eastAsia" w:ascii="仿宋" w:hAnsi="仿宋" w:eastAsia="仿宋" w:cs="仿宋"/>
          <w:color w:val="auto"/>
          <w:highlight w:val="none"/>
        </w:rPr>
        <w:t>方向排列。</w:t>
      </w:r>
      <w:r>
        <w:rPr>
          <w:rFonts w:hint="eastAsia" w:ascii="仿宋" w:hAnsi="仿宋" w:eastAsia="仿宋" w:cs="仿宋"/>
          <w:color w:val="auto"/>
          <w:highlight w:val="none"/>
          <w:lang w:val="en-US" w:eastAsia="zh-CN"/>
        </w:rPr>
        <w:t>加装4套柔性吊</w:t>
      </w:r>
      <w:r>
        <w:rPr>
          <w:rFonts w:hint="eastAsia" w:ascii="仿宋" w:hAnsi="仿宋" w:eastAsia="仿宋" w:cs="仿宋"/>
          <w:color w:val="auto"/>
          <w:highlight w:val="none"/>
        </w:rPr>
        <w:t>用于</w:t>
      </w:r>
      <w:r>
        <w:rPr>
          <w:rFonts w:hint="eastAsia" w:ascii="仿宋" w:hAnsi="仿宋" w:eastAsia="仿宋" w:cs="仿宋"/>
          <w:color w:val="auto"/>
          <w:highlight w:val="none"/>
          <w:lang w:val="en-US" w:eastAsia="zh-CN"/>
        </w:rPr>
        <w:t>轮毂上线及轮毂总成下线</w:t>
      </w:r>
      <w:r>
        <w:rPr>
          <w:rFonts w:hint="eastAsia" w:ascii="仿宋" w:hAnsi="仿宋" w:eastAsia="仿宋" w:cs="仿宋"/>
          <w:color w:val="auto"/>
          <w:highlight w:val="none"/>
        </w:rPr>
        <w:t>的吊运；</w:t>
      </w:r>
    </w:p>
    <w:p w14:paraId="3362763F">
      <w:pPr>
        <w:pStyle w:val="16"/>
        <w:snapToGrid w:val="0"/>
        <w:spacing w:line="360" w:lineRule="auto"/>
        <w:ind w:left="0" w:leftChars="0" w:firstLine="0" w:firstLineChars="0"/>
        <w:jc w:val="center"/>
        <w:rPr>
          <w:rFonts w:hint="eastAsia" w:ascii="仿宋" w:hAnsi="仿宋" w:eastAsia="仿宋" w:cs="仿宋"/>
          <w:color w:val="auto"/>
          <w:highlight w:val="none"/>
        </w:rPr>
      </w:pPr>
      <w:r>
        <w:rPr>
          <w:rFonts w:hint="eastAsia" w:eastAsia="宋体"/>
          <w:color w:val="auto"/>
          <w:highlight w:val="none"/>
          <w:lang w:eastAsia="zh-CN"/>
        </w:rPr>
        <w:drawing>
          <wp:inline distT="0" distB="0" distL="114300" distR="114300">
            <wp:extent cx="1858645" cy="4437380"/>
            <wp:effectExtent l="0" t="0" r="7620" b="8255"/>
            <wp:docPr id="6" name="图片 6" descr="022662e3-747a-472a-9478-8f3f08f1b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2662e3-747a-472a-9478-8f3f08f1b307"/>
                    <pic:cNvPicPr>
                      <a:picLocks noChangeAspect="1"/>
                    </pic:cNvPicPr>
                  </pic:nvPicPr>
                  <pic:blipFill>
                    <a:blip r:embed="rId12"/>
                    <a:srcRect l="15782" r="11545"/>
                    <a:stretch>
                      <a:fillRect/>
                    </a:stretch>
                  </pic:blipFill>
                  <pic:spPr>
                    <a:xfrm rot="5400000">
                      <a:off x="0" y="0"/>
                      <a:ext cx="1858645" cy="4437380"/>
                    </a:xfrm>
                    <a:prstGeom prst="rect">
                      <a:avLst/>
                    </a:prstGeom>
                  </pic:spPr>
                </pic:pic>
              </a:graphicData>
            </a:graphic>
          </wp:inline>
        </w:drawing>
      </w:r>
    </w:p>
    <w:p w14:paraId="269840D9">
      <w:pPr>
        <w:pStyle w:val="16"/>
        <w:snapToGrid w:val="0"/>
        <w:spacing w:line="360" w:lineRule="auto"/>
        <w:ind w:firstLine="480" w:firstLineChars="200"/>
        <w:rPr>
          <w:rFonts w:hint="eastAsia" w:eastAsia="宋体"/>
          <w:color w:val="auto"/>
          <w:highlight w:val="none"/>
          <w:lang w:eastAsia="zh-CN"/>
        </w:rPr>
      </w:pPr>
    </w:p>
    <w:p w14:paraId="7A301236">
      <w:pPr>
        <w:pStyle w:val="16"/>
        <w:snapToGrid w:val="0"/>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（2）建设方案要求</w:t>
      </w:r>
    </w:p>
    <w:p w14:paraId="6A8D645F">
      <w:pPr>
        <w:pStyle w:val="16"/>
        <w:snapToGrid w:val="0"/>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轮毂总成装配线：加装柔性吊纵轨、滑线，横轨4根每根长度6.5米，起升高度不低于3.8米；纵轨四根，两根长度20米，两根长度8米，跨度6米；新增4套250kg柔性吊（含横轨）及相应集电器及支架等柔性吊必需附件。纵轨固定在线体上方钢结构上</w:t>
      </w:r>
    </w:p>
    <w:p w14:paraId="5823F44F">
      <w:pPr>
        <w:pStyle w:val="16"/>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柔性吊具体</w:t>
      </w:r>
      <w:r>
        <w:rPr>
          <w:rFonts w:hint="eastAsia" w:ascii="仿宋" w:hAnsi="仿宋" w:eastAsia="仿宋" w:cs="仿宋"/>
          <w:color w:val="auto"/>
          <w:highlight w:val="none"/>
          <w:lang w:val="en-US" w:eastAsia="zh-CN"/>
        </w:rPr>
        <w:t>数量归纳</w:t>
      </w:r>
      <w:r>
        <w:rPr>
          <w:rFonts w:hint="eastAsia" w:ascii="仿宋" w:hAnsi="仿宋" w:eastAsia="仿宋" w:cs="仿宋"/>
          <w:color w:val="auto"/>
          <w:highlight w:val="none"/>
        </w:rPr>
        <w:t>如下：</w:t>
      </w:r>
    </w:p>
    <w:tbl>
      <w:tblPr>
        <w:tblStyle w:val="30"/>
        <w:tblW w:w="81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566"/>
        <w:gridCol w:w="976"/>
        <w:gridCol w:w="1056"/>
        <w:gridCol w:w="926"/>
        <w:gridCol w:w="1075"/>
        <w:gridCol w:w="1169"/>
        <w:gridCol w:w="1390"/>
      </w:tblGrid>
      <w:tr w14:paraId="2550B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56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50D573F">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安装位置</w:t>
            </w:r>
          </w:p>
        </w:tc>
        <w:tc>
          <w:tcPr>
            <w:tcW w:w="97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2CFCEF6">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规格</w:t>
            </w:r>
          </w:p>
        </w:tc>
        <w:tc>
          <w:tcPr>
            <w:tcW w:w="198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28C49CA6">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纵轨</w:t>
            </w:r>
          </w:p>
        </w:tc>
        <w:tc>
          <w:tcPr>
            <w:tcW w:w="2244"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2AC0C6D8">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横轨</w:t>
            </w:r>
          </w:p>
        </w:tc>
        <w:tc>
          <w:tcPr>
            <w:tcW w:w="1390" w:type="dxa"/>
            <w:vMerge w:val="restart"/>
            <w:tcBorders>
              <w:top w:val="single" w:color="000000" w:sz="4" w:space="0"/>
              <w:left w:val="single" w:color="000000" w:sz="4" w:space="0"/>
              <w:right w:val="single" w:color="000000" w:sz="4" w:space="0"/>
            </w:tcBorders>
            <w:shd w:val="clear" w:color="auto" w:fill="auto"/>
            <w:tcMar>
              <w:top w:w="12" w:type="dxa"/>
              <w:left w:w="12" w:type="dxa"/>
              <w:bottom w:w="72" w:type="dxa"/>
              <w:right w:w="12" w:type="dxa"/>
            </w:tcMar>
            <w:vAlign w:val="center"/>
          </w:tcPr>
          <w:p w14:paraId="09CBBE02">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环链</w:t>
            </w:r>
          </w:p>
          <w:p w14:paraId="31BF08EC">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吊葫芦</w:t>
            </w:r>
          </w:p>
          <w:p w14:paraId="20EC62C5">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/挂</w:t>
            </w:r>
          </w:p>
        </w:tc>
      </w:tr>
      <w:tr w14:paraId="386D2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5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D0B3A95">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p>
        </w:tc>
        <w:tc>
          <w:tcPr>
            <w:tcW w:w="9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C88BA68">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28398F95">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长度/m</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ECA8CC7">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跨距/m</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D20738F">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数量/根</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B18947D">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长</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m/根</w:t>
            </w:r>
          </w:p>
        </w:tc>
        <w:tc>
          <w:tcPr>
            <w:tcW w:w="1390" w:type="dxa"/>
            <w:vMerge w:val="continue"/>
            <w:tcBorders>
              <w:left w:val="single" w:color="000000" w:sz="4" w:space="0"/>
              <w:right w:val="single" w:color="000000" w:sz="4" w:space="0"/>
            </w:tcBorders>
            <w:shd w:val="clear" w:color="auto" w:fill="auto"/>
            <w:tcMar>
              <w:top w:w="12" w:type="dxa"/>
              <w:left w:w="12" w:type="dxa"/>
              <w:bottom w:w="72" w:type="dxa"/>
              <w:right w:w="12" w:type="dxa"/>
            </w:tcMar>
            <w:vAlign w:val="center"/>
          </w:tcPr>
          <w:p w14:paraId="0BACEBBF">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p>
        </w:tc>
      </w:tr>
      <w:tr w14:paraId="265CE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56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7FDEC08">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前轮毂上线工位</w:t>
            </w:r>
          </w:p>
        </w:tc>
        <w:tc>
          <w:tcPr>
            <w:tcW w:w="9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E585DE8">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250Kg</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3A37486">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20</w:t>
            </w:r>
          </w:p>
          <w:p w14:paraId="71D22D5E">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8</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A2DA6FB">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6</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70B2464">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D037EBE">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6.5</w:t>
            </w:r>
          </w:p>
        </w:tc>
        <w:tc>
          <w:tcPr>
            <w:tcW w:w="13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3BBC5AEE">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r>
      <w:tr w14:paraId="7069A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254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6720187">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合计</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C754B5F">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56</w:t>
            </w:r>
            <w:r>
              <w:rPr>
                <w:rFonts w:hint="eastAsia" w:ascii="仿宋" w:hAnsi="仿宋" w:eastAsia="仿宋" w:cs="仿宋"/>
                <w:color w:val="auto"/>
                <w:sz w:val="21"/>
                <w:szCs w:val="21"/>
                <w:highlight w:val="none"/>
              </w:rPr>
              <w:t>米</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7F6D40F">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10B42BF">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FB6A3A4">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26</w:t>
            </w:r>
          </w:p>
        </w:tc>
        <w:tc>
          <w:tcPr>
            <w:tcW w:w="13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9C3C46F">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r>
      <w:tr w14:paraId="5F3E7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8158" w:type="dxa"/>
            <w:gridSpan w:val="7"/>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36FB74DF">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注：采用II型结构，高度约5M。</w:t>
            </w:r>
          </w:p>
        </w:tc>
      </w:tr>
    </w:tbl>
    <w:p w14:paraId="5CD46A8F">
      <w:pPr>
        <w:pStyle w:val="16"/>
        <w:snapToGrid w:val="0"/>
        <w:spacing w:line="360" w:lineRule="auto"/>
        <w:ind w:firstLine="480" w:firstLineChars="200"/>
        <w:jc w:val="center"/>
      </w:pPr>
    </w:p>
    <w:p w14:paraId="393059A6">
      <w:pPr>
        <w:pStyle w:val="16"/>
        <w:snapToGrid w:val="0"/>
        <w:spacing w:line="360" w:lineRule="auto"/>
        <w:ind w:firstLine="480" w:firstLineChars="20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3.1.3 电驱桥总成齿轮油定量加注技改项目</w:t>
      </w:r>
    </w:p>
    <w:p w14:paraId="6CB3AC5D">
      <w:pPr>
        <w:pStyle w:val="16"/>
        <w:snapToGrid w:val="0"/>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（1）驱动桥桥库发交区</w:t>
      </w:r>
      <w:r>
        <w:rPr>
          <w:rFonts w:hint="eastAsia" w:ascii="仿宋" w:hAnsi="仿宋" w:eastAsia="仿宋" w:cs="仿宋"/>
          <w:color w:val="000000"/>
          <w:sz w:val="24"/>
          <w:szCs w:val="24"/>
        </w:rPr>
        <w:t>柔性吊</w:t>
      </w:r>
      <w:r>
        <w:rPr>
          <w:rFonts w:hint="eastAsia" w:ascii="仿宋" w:hAnsi="仿宋" w:eastAsia="仿宋" w:cs="仿宋"/>
          <w:color w:val="000000"/>
          <w:sz w:val="24"/>
          <w:szCs w:val="24"/>
          <w:lang w:eastAsia="zh-CN"/>
        </w:rPr>
        <w:t>纵轨</w:t>
      </w:r>
      <w:r>
        <w:rPr>
          <w:rFonts w:hint="eastAsia" w:ascii="仿宋" w:hAnsi="仿宋" w:eastAsia="仿宋" w:cs="仿宋"/>
          <w:color w:val="000000"/>
          <w:sz w:val="24"/>
          <w:szCs w:val="24"/>
        </w:rPr>
        <w:t>南北方向排列，横</w:t>
      </w:r>
      <w:r>
        <w:rPr>
          <w:rFonts w:hint="eastAsia" w:ascii="仿宋" w:hAnsi="仿宋" w:eastAsia="仿宋" w:cs="仿宋"/>
          <w:color w:val="000000"/>
          <w:sz w:val="24"/>
          <w:szCs w:val="24"/>
          <w:lang w:val="en-US" w:eastAsia="zh-CN"/>
        </w:rPr>
        <w:t>轨</w:t>
      </w:r>
      <w:r>
        <w:rPr>
          <w:rFonts w:hint="eastAsia" w:ascii="仿宋" w:hAnsi="仿宋" w:eastAsia="仿宋" w:cs="仿宋"/>
          <w:color w:val="000000"/>
          <w:sz w:val="24"/>
          <w:szCs w:val="24"/>
        </w:rPr>
        <w:t>东西方向排列</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用于</w:t>
      </w:r>
      <w:r>
        <w:rPr>
          <w:rFonts w:hint="eastAsia" w:ascii="仿宋" w:hAnsi="仿宋" w:eastAsia="仿宋" w:cs="仿宋"/>
          <w:color w:val="000000"/>
          <w:sz w:val="24"/>
          <w:szCs w:val="24"/>
          <w:lang w:val="en-US" w:eastAsia="zh-CN"/>
        </w:rPr>
        <w:t>桥总成的转运、翻转，位置见下图</w:t>
      </w:r>
      <w:r>
        <w:rPr>
          <w:rFonts w:hint="eastAsia" w:ascii="仿宋" w:hAnsi="仿宋" w:eastAsia="仿宋" w:cs="仿宋"/>
          <w:color w:val="000000"/>
          <w:sz w:val="24"/>
          <w:szCs w:val="24"/>
        </w:rPr>
        <w:t>；</w:t>
      </w:r>
    </w:p>
    <w:p w14:paraId="6A5C879E">
      <w:pPr>
        <w:pStyle w:val="16"/>
        <w:snapToGrid w:val="0"/>
        <w:spacing w:line="360" w:lineRule="auto"/>
        <w:ind w:left="0" w:leftChars="0" w:firstLine="0" w:firstLineChars="0"/>
        <w:jc w:val="center"/>
        <w:rPr>
          <w:rFonts w:hint="eastAsia" w:ascii="仿宋" w:hAnsi="仿宋" w:eastAsia="仿宋" w:cs="仿宋"/>
          <w:color w:val="000000"/>
          <w:sz w:val="24"/>
          <w:szCs w:val="24"/>
        </w:rPr>
      </w:pPr>
      <w:r>
        <w:drawing>
          <wp:inline distT="0" distB="0" distL="114300" distR="114300">
            <wp:extent cx="3250565" cy="3526790"/>
            <wp:effectExtent l="0" t="0" r="635"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3250565" cy="3526790"/>
                    </a:xfrm>
                    <a:prstGeom prst="rect">
                      <a:avLst/>
                    </a:prstGeom>
                    <a:noFill/>
                    <a:ln>
                      <a:noFill/>
                    </a:ln>
                  </pic:spPr>
                </pic:pic>
              </a:graphicData>
            </a:graphic>
          </wp:inline>
        </w:drawing>
      </w:r>
    </w:p>
    <w:p w14:paraId="70F14661">
      <w:pPr>
        <w:pStyle w:val="16"/>
        <w:snapToGrid w:val="0"/>
        <w:spacing w:line="360" w:lineRule="auto"/>
        <w:ind w:left="0" w:leftChars="0" w:firstLine="0" w:firstLineChars="0"/>
        <w:rPr>
          <w:rFonts w:hint="eastAsia" w:ascii="仿宋" w:hAnsi="仿宋" w:eastAsia="仿宋" w:cs="仿宋"/>
          <w:color w:val="000000"/>
          <w:highlight w:val="yellow"/>
        </w:rPr>
      </w:pPr>
    </w:p>
    <w:p w14:paraId="129008D8">
      <w:pPr>
        <w:pStyle w:val="16"/>
        <w:numPr>
          <w:ilvl w:val="0"/>
          <w:numId w:val="28"/>
        </w:numPr>
        <w:snapToGrid w:val="0"/>
        <w:spacing w:line="360" w:lineRule="auto"/>
        <w:ind w:firstLine="480" w:firstLineChars="20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建设方案要求</w:t>
      </w:r>
    </w:p>
    <w:p w14:paraId="4B33058E">
      <w:pPr>
        <w:spacing w:line="360" w:lineRule="auto"/>
        <w:ind w:firstLine="480" w:firstLineChars="200"/>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增加柔性吊</w:t>
      </w:r>
      <w:r>
        <w:rPr>
          <w:rFonts w:hint="eastAsia" w:ascii="仿宋" w:hAnsi="仿宋" w:eastAsia="仿宋" w:cs="仿宋"/>
          <w:color w:val="000000"/>
          <w:sz w:val="24"/>
          <w:szCs w:val="24"/>
          <w:highlight w:val="none"/>
        </w:rPr>
        <w:t>纵轨、滑线，横轨长度8米，起升高度不低于</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米</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纵轨</w:t>
      </w:r>
      <w:r>
        <w:rPr>
          <w:rFonts w:hint="eastAsia" w:ascii="仿宋" w:hAnsi="仿宋" w:eastAsia="仿宋" w:cs="仿宋"/>
          <w:color w:val="000000"/>
          <w:sz w:val="24"/>
          <w:szCs w:val="24"/>
          <w:highlight w:val="none"/>
          <w:lang w:val="en-US" w:eastAsia="zh-CN"/>
        </w:rPr>
        <w:t>两根，每根11米</w:t>
      </w:r>
      <w:r>
        <w:rPr>
          <w:rFonts w:hint="eastAsia" w:ascii="仿宋" w:hAnsi="仿宋" w:eastAsia="仿宋" w:cs="仿宋"/>
          <w:color w:val="000000"/>
          <w:sz w:val="24"/>
          <w:szCs w:val="24"/>
          <w:highlight w:val="none"/>
        </w:rPr>
        <w:t>，安装在现有钢结构上；</w:t>
      </w:r>
      <w:r>
        <w:rPr>
          <w:rFonts w:hint="eastAsia" w:ascii="仿宋" w:hAnsi="仿宋" w:eastAsia="仿宋" w:cs="仿宋"/>
          <w:color w:val="000000"/>
          <w:sz w:val="24"/>
          <w:szCs w:val="24"/>
          <w:highlight w:val="none"/>
          <w:lang w:val="en-US" w:eastAsia="zh-CN"/>
        </w:rPr>
        <w:t>增加1.5T柔性吊1台</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并配套</w:t>
      </w:r>
      <w:r>
        <w:rPr>
          <w:rFonts w:hint="eastAsia" w:ascii="仿宋" w:hAnsi="仿宋" w:eastAsia="仿宋" w:cs="仿宋"/>
          <w:color w:val="000000"/>
          <w:sz w:val="24"/>
          <w:szCs w:val="24"/>
          <w:highlight w:val="none"/>
        </w:rPr>
        <w:t>相应集电器及支架。</w:t>
      </w:r>
      <w:r>
        <w:rPr>
          <w:rFonts w:hint="eastAsia" w:ascii="仿宋" w:hAnsi="仿宋" w:eastAsia="仿宋" w:cs="仿宋"/>
          <w:color w:val="000000"/>
          <w:sz w:val="24"/>
          <w:szCs w:val="24"/>
          <w:highlight w:val="none"/>
          <w:lang w:val="en-US" w:eastAsia="zh-CN"/>
        </w:rPr>
        <w:t>左右、前后移动控制方式为电动控制，具备手柄和遥控两种控制方式。</w:t>
      </w:r>
    </w:p>
    <w:tbl>
      <w:tblPr>
        <w:tblStyle w:val="30"/>
        <w:tblW w:w="81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41"/>
        <w:gridCol w:w="1101"/>
        <w:gridCol w:w="1056"/>
        <w:gridCol w:w="926"/>
        <w:gridCol w:w="1075"/>
        <w:gridCol w:w="1169"/>
        <w:gridCol w:w="1390"/>
      </w:tblGrid>
      <w:tr w14:paraId="76A7F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1441"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224797AE">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lang w:val="en-US" w:eastAsia="zh-CN"/>
              </w:rPr>
              <w:t>安装位置</w:t>
            </w:r>
          </w:p>
        </w:tc>
        <w:tc>
          <w:tcPr>
            <w:tcW w:w="1101"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E44C45F">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规格</w:t>
            </w:r>
          </w:p>
        </w:tc>
        <w:tc>
          <w:tcPr>
            <w:tcW w:w="198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C2C39A8">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纵轨</w:t>
            </w:r>
          </w:p>
        </w:tc>
        <w:tc>
          <w:tcPr>
            <w:tcW w:w="2244"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2ED642C1">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横轨</w:t>
            </w:r>
          </w:p>
        </w:tc>
        <w:tc>
          <w:tcPr>
            <w:tcW w:w="1390" w:type="dxa"/>
            <w:vMerge w:val="restart"/>
            <w:tcBorders>
              <w:top w:val="single" w:color="000000" w:sz="4" w:space="0"/>
              <w:left w:val="single" w:color="000000" w:sz="4" w:space="0"/>
              <w:right w:val="single" w:color="000000" w:sz="4" w:space="0"/>
            </w:tcBorders>
            <w:shd w:val="clear" w:color="auto" w:fill="auto"/>
            <w:tcMar>
              <w:top w:w="12" w:type="dxa"/>
              <w:left w:w="12" w:type="dxa"/>
              <w:bottom w:w="72" w:type="dxa"/>
              <w:right w:w="12" w:type="dxa"/>
            </w:tcMar>
            <w:vAlign w:val="center"/>
          </w:tcPr>
          <w:p w14:paraId="10756E2F">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环链</w:t>
            </w:r>
          </w:p>
          <w:p w14:paraId="788C255A">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吊葫芦</w:t>
            </w:r>
          </w:p>
          <w:p w14:paraId="3A01EF5F">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/挂</w:t>
            </w:r>
          </w:p>
        </w:tc>
      </w:tr>
      <w:tr w14:paraId="04E78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144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F614DEE">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p>
        </w:tc>
        <w:tc>
          <w:tcPr>
            <w:tcW w:w="11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181953E">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5AE8A69">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长度/m</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342A35B3">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跨距/m</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086FA2A">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数量/根</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B580A04">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长</w:t>
            </w:r>
            <w:r>
              <w:rPr>
                <w:rFonts w:hint="eastAsia" w:ascii="仿宋" w:hAnsi="仿宋" w:eastAsia="仿宋" w:cs="仿宋"/>
                <w:color w:val="000000"/>
                <w:sz w:val="21"/>
                <w:szCs w:val="21"/>
                <w:lang w:val="en-US" w:eastAsia="zh-CN"/>
              </w:rPr>
              <w:t>：</w:t>
            </w:r>
            <w:r>
              <w:rPr>
                <w:rFonts w:hint="eastAsia" w:ascii="仿宋" w:hAnsi="仿宋" w:eastAsia="仿宋" w:cs="仿宋"/>
                <w:color w:val="000000"/>
                <w:sz w:val="21"/>
                <w:szCs w:val="21"/>
              </w:rPr>
              <w:t>m/根</w:t>
            </w:r>
          </w:p>
        </w:tc>
        <w:tc>
          <w:tcPr>
            <w:tcW w:w="1390" w:type="dxa"/>
            <w:vMerge w:val="continue"/>
            <w:tcBorders>
              <w:left w:val="single" w:color="000000" w:sz="4" w:space="0"/>
              <w:right w:val="single" w:color="000000" w:sz="4" w:space="0"/>
            </w:tcBorders>
            <w:shd w:val="clear" w:color="auto" w:fill="auto"/>
            <w:tcMar>
              <w:top w:w="12" w:type="dxa"/>
              <w:left w:w="12" w:type="dxa"/>
              <w:bottom w:w="72" w:type="dxa"/>
              <w:right w:w="12" w:type="dxa"/>
            </w:tcMar>
            <w:vAlign w:val="center"/>
          </w:tcPr>
          <w:p w14:paraId="66EB9B88">
            <w:pPr>
              <w:keepNext w:val="0"/>
              <w:keepLines w:val="0"/>
              <w:pageBreakBefore w:val="0"/>
              <w:widowControl/>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p>
        </w:tc>
      </w:tr>
      <w:tr w14:paraId="4ED2E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144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1B8439E">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color w:val="000000"/>
                <w:sz w:val="21"/>
                <w:szCs w:val="21"/>
                <w:lang w:val="en-US" w:eastAsia="zh-CN"/>
              </w:rPr>
              <w:t>驱动桥桥库发交区</w:t>
            </w:r>
          </w:p>
        </w:tc>
        <w:tc>
          <w:tcPr>
            <w:tcW w:w="110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37BF4DFA">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lang w:val="en-US" w:eastAsia="zh-CN"/>
              </w:rPr>
            </w:pPr>
            <w:r>
              <w:rPr>
                <w:rFonts w:hint="eastAsia" w:ascii="仿宋" w:hAnsi="仿宋" w:eastAsia="仿宋" w:cs="仿宋"/>
                <w:color w:val="000000"/>
                <w:sz w:val="21"/>
                <w:szCs w:val="21"/>
                <w:lang w:val="en-US" w:eastAsia="zh-CN"/>
              </w:rPr>
              <w:t>1.5T</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C80103E">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lang w:val="en-US" w:eastAsia="zh-CN"/>
              </w:rPr>
            </w:pPr>
            <w:r>
              <w:rPr>
                <w:rFonts w:hint="eastAsia" w:ascii="仿宋" w:hAnsi="仿宋" w:eastAsia="仿宋" w:cs="仿宋"/>
                <w:color w:val="000000"/>
                <w:sz w:val="21"/>
                <w:szCs w:val="21"/>
              </w:rPr>
              <w:t>2×</w:t>
            </w:r>
            <w:r>
              <w:rPr>
                <w:rFonts w:hint="eastAsia" w:ascii="仿宋" w:hAnsi="仿宋" w:eastAsia="仿宋" w:cs="仿宋"/>
                <w:color w:val="000000"/>
                <w:sz w:val="21"/>
                <w:szCs w:val="21"/>
                <w:lang w:val="en-US" w:eastAsia="zh-CN"/>
              </w:rPr>
              <w:t>11</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551FB6B">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7.5</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10F4EA9">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D0443E2">
            <w:pPr>
              <w:pStyle w:val="26"/>
              <w:keepNext w:val="0"/>
              <w:keepLines w:val="0"/>
              <w:pageBreakBefore w:val="0"/>
              <w:widowControl/>
              <w:suppressLineNumbers w:val="0"/>
              <w:tabs>
                <w:tab w:val="left" w:pos="381"/>
                <w:tab w:val="center" w:pos="632"/>
              </w:tabs>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color w:val="000000"/>
                <w:sz w:val="21"/>
                <w:szCs w:val="21"/>
                <w:highlight w:val="none"/>
                <w:lang w:val="en-US" w:eastAsia="zh-CN"/>
              </w:rPr>
              <w:t>8</w:t>
            </w:r>
          </w:p>
        </w:tc>
        <w:tc>
          <w:tcPr>
            <w:tcW w:w="13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45C1B624">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41808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254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35BE9CD9">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合计</w:t>
            </w:r>
          </w:p>
        </w:tc>
        <w:tc>
          <w:tcPr>
            <w:tcW w:w="10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124CA501">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22</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79FF133">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745EA0B5">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1</w:t>
            </w:r>
          </w:p>
        </w:tc>
        <w:tc>
          <w:tcPr>
            <w:tcW w:w="11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5C34387F">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w:t>
            </w:r>
          </w:p>
        </w:tc>
        <w:tc>
          <w:tcPr>
            <w:tcW w:w="139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0D43A914">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center"/>
              <w:textAlignment w:val="auto"/>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1</w:t>
            </w:r>
          </w:p>
        </w:tc>
      </w:tr>
      <w:tr w14:paraId="2C0E9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trPr>
        <w:tc>
          <w:tcPr>
            <w:tcW w:w="8158" w:type="dxa"/>
            <w:gridSpan w:val="7"/>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14:paraId="677D9129">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jc w:val="left"/>
              <w:textAlignment w:val="auto"/>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注：采用II型结构，高度不低于4M。</w:t>
            </w:r>
          </w:p>
        </w:tc>
      </w:tr>
    </w:tbl>
    <w:p w14:paraId="2377BD33">
      <w:pPr>
        <w:pStyle w:val="16"/>
        <w:keepNext w:val="0"/>
        <w:keepLines w:val="0"/>
        <w:pageBreakBefore w:val="0"/>
        <w:widowControl w:val="0"/>
        <w:numPr>
          <w:ilvl w:val="0"/>
          <w:numId w:val="0"/>
        </w:numPr>
        <w:kinsoku/>
        <w:wordWrap/>
        <w:overflowPunct/>
        <w:topLinePunct w:val="0"/>
        <w:autoSpaceDE/>
        <w:autoSpaceDN/>
        <w:bidi w:val="0"/>
        <w:adjustRightInd/>
        <w:snapToGrid w:val="0"/>
        <w:spacing w:before="164" w:beforeLines="50" w:line="360" w:lineRule="auto"/>
        <w:ind w:firstLine="480" w:firstLineChars="200"/>
        <w:jc w:val="both"/>
        <w:textAlignment w:val="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3.2技术性能参数：</w:t>
      </w:r>
    </w:p>
    <w:p w14:paraId="6E3BC3BE">
      <w:pPr>
        <w:pStyle w:val="16"/>
        <w:snapToGrid w:val="0"/>
        <w:spacing w:line="360" w:lineRule="auto"/>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3.2.1起升高度和跨度：（见</w:t>
      </w:r>
      <w:r>
        <w:rPr>
          <w:rFonts w:hint="eastAsia" w:ascii="仿宋" w:hAnsi="仿宋" w:eastAsia="仿宋" w:cs="仿宋"/>
          <w:color w:val="000000" w:themeColor="text1"/>
          <w:lang w:val="en-US" w:eastAsia="zh-CN"/>
          <w14:textFill>
            <w14:solidFill>
              <w14:schemeClr w14:val="tx1"/>
            </w14:solidFill>
          </w14:textFill>
        </w:rPr>
        <w:t>3.1</w:t>
      </w:r>
      <w:r>
        <w:rPr>
          <w:rFonts w:hint="eastAsia" w:ascii="仿宋" w:hAnsi="仿宋" w:eastAsia="仿宋" w:cs="仿宋"/>
          <w:color w:val="000000" w:themeColor="text1"/>
          <w14:textFill>
            <w14:solidFill>
              <w14:schemeClr w14:val="tx1"/>
            </w14:solidFill>
          </w14:textFill>
        </w:rPr>
        <w:t>，仅供参考，以实际</w:t>
      </w:r>
      <w:r>
        <w:rPr>
          <w:rFonts w:hint="eastAsia" w:ascii="仿宋" w:hAnsi="仿宋" w:eastAsia="仿宋" w:cs="仿宋"/>
          <w:color w:val="000000" w:themeColor="text1"/>
          <w:highlight w:val="none"/>
          <w14:textFill>
            <w14:solidFill>
              <w14:schemeClr w14:val="tx1"/>
            </w14:solidFill>
          </w14:textFill>
        </w:rPr>
        <w:t>提升高度和跨度为准）</w:t>
      </w:r>
    </w:p>
    <w:p w14:paraId="684D799E">
      <w:pPr>
        <w:pStyle w:val="16"/>
        <w:snapToGrid w:val="0"/>
        <w:spacing w:line="360" w:lineRule="auto"/>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★3.2.2 起升速度：环链葫芦＞8-2m/min。</w:t>
      </w:r>
    </w:p>
    <w:p w14:paraId="6C9C0EC4">
      <w:pPr>
        <w:pStyle w:val="16"/>
        <w:snapToGrid w:val="0"/>
        <w:spacing w:line="360" w:lineRule="auto"/>
        <w:ind w:firstLine="480" w:firstLineChars="200"/>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★3.2.3 吊具配置双速电机；高低速控制手柄。</w:t>
      </w:r>
      <w:r>
        <w:rPr>
          <w:rFonts w:hint="eastAsia" w:ascii="仿宋" w:hAnsi="仿宋" w:eastAsia="仿宋" w:cs="仿宋"/>
          <w:color w:val="000000" w:themeColor="text1"/>
          <w:highlight w:val="none"/>
          <w:lang w:val="en-US" w:eastAsia="zh-CN"/>
          <w14:textFill>
            <w14:solidFill>
              <w14:schemeClr w14:val="tx1"/>
            </w14:solidFill>
          </w14:textFill>
        </w:rPr>
        <w:t>控制手柄上的按钮需注明中文名称。</w:t>
      </w:r>
    </w:p>
    <w:p w14:paraId="29024C4E">
      <w:pPr>
        <w:pStyle w:val="16"/>
        <w:snapToGrid w:val="0"/>
        <w:spacing w:line="360" w:lineRule="auto"/>
        <w:ind w:firstLine="480" w:firstLineChars="200"/>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3.2.4 安装：柔性吊安装在买方的钢结构上，导轨吊点间</w:t>
      </w:r>
      <w:r>
        <w:rPr>
          <w:rFonts w:hint="eastAsia" w:ascii="仿宋" w:hAnsi="仿宋" w:eastAsia="仿宋" w:cs="仿宋"/>
          <w:color w:val="auto"/>
          <w:highlight w:val="none"/>
        </w:rPr>
        <w:t>距小于1.2m，</w:t>
      </w:r>
      <w:r>
        <w:rPr>
          <w:rFonts w:hint="eastAsia" w:ascii="仿宋" w:hAnsi="仿宋" w:eastAsia="仿宋" w:cs="仿宋"/>
          <w:color w:val="000000" w:themeColor="text1"/>
          <w:highlight w:val="none"/>
          <w14:textFill>
            <w14:solidFill>
              <w14:schemeClr w14:val="tx1"/>
            </w14:solidFill>
          </w14:textFill>
        </w:rPr>
        <w:t>密度均布。</w:t>
      </w:r>
      <w:r>
        <w:rPr>
          <w:rFonts w:hint="eastAsia" w:ascii="仿宋" w:hAnsi="仿宋" w:eastAsia="仿宋" w:cs="仿宋"/>
          <w:color w:val="000000" w:themeColor="text1"/>
          <w:highlight w:val="none"/>
          <w:lang w:val="en-US" w:eastAsia="zh-CN"/>
          <w14:textFill>
            <w14:solidFill>
              <w14:schemeClr w14:val="tx1"/>
            </w14:solidFill>
          </w14:textFill>
        </w:rPr>
        <w:t>导轨与工字钢之间需安装防坠落装置。</w:t>
      </w:r>
    </w:p>
    <w:p w14:paraId="7CA74FAE">
      <w:pPr>
        <w:pStyle w:val="16"/>
        <w:snapToGrid w:val="0"/>
        <w:spacing w:line="360" w:lineRule="auto"/>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3.2.5 送电方式：大车采用安全外置滑触线；小车采用拖缆。</w:t>
      </w:r>
    </w:p>
    <w:p w14:paraId="6025E8A1">
      <w:pPr>
        <w:pStyle w:val="16"/>
        <w:snapToGrid w:val="0"/>
        <w:spacing w:line="360" w:lineRule="auto"/>
        <w:ind w:firstLine="480" w:firstLineChars="200"/>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3.2.6滑动小车：采用双轮结构，使用连接板、螺母及开口销进行固定</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开口销捆绑红色扎带；相邻柔性吊之间安装防撞措施，避免电源开关箱相互碰撞。</w:t>
      </w:r>
    </w:p>
    <w:p w14:paraId="5C50502B">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3.2.7外置安全滑触线：使用螺栓连接到导轨吊点，不允许焊接固定，每条外置安全滑触线在末端配备一个电源三色灯。</w:t>
      </w:r>
    </w:p>
    <w:p w14:paraId="3C32BAF1">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3.2.8 电动葫芦在满载运行过程中，不得有爬行、抖动、卡死等现象；</w:t>
      </w:r>
    </w:p>
    <w:p w14:paraId="040662AD">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3.2.9 电动葫芦在满载运行过程中的噪声不大于</w:t>
      </w:r>
      <w:r>
        <w:rPr>
          <w:rFonts w:hint="eastAsia" w:ascii="仿宋" w:hAnsi="仿宋" w:eastAsia="仿宋" w:cs="仿宋"/>
          <w:color w:val="000000" w:themeColor="text1"/>
          <w:lang w:val="en-US" w:eastAsia="zh-CN"/>
          <w14:textFill>
            <w14:solidFill>
              <w14:schemeClr w14:val="tx1"/>
            </w14:solidFill>
          </w14:textFill>
        </w:rPr>
        <w:t>8</w:t>
      </w:r>
      <w:r>
        <w:rPr>
          <w:rFonts w:hint="eastAsia" w:ascii="仿宋" w:hAnsi="仿宋" w:eastAsia="仿宋" w:cs="仿宋"/>
          <w:color w:val="000000" w:themeColor="text1"/>
          <w14:textFill>
            <w14:solidFill>
              <w14:schemeClr w14:val="tx1"/>
            </w14:solidFill>
          </w14:textFill>
        </w:rPr>
        <w:t>0dB；</w:t>
      </w:r>
    </w:p>
    <w:p w14:paraId="5C67577D">
      <w:pPr>
        <w:pStyle w:val="16"/>
        <w:snapToGrid w:val="0"/>
        <w:spacing w:line="360" w:lineRule="auto"/>
        <w:ind w:firstLine="48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3.2.10电动葫芦应有防撞装置，以防两台葫芦相遇时产生危险；电动葫芦应有机械式防冲顶装置，</w:t>
      </w:r>
      <w:r>
        <w:rPr>
          <w:rFonts w:hint="eastAsia" w:ascii="仿宋" w:hAnsi="仿宋" w:eastAsia="仿宋" w:cs="仿宋"/>
          <w:color w:val="000000" w:themeColor="text1"/>
          <w:highlight w:val="none"/>
          <w14:textFill>
            <w14:solidFill>
              <w14:schemeClr w14:val="tx1"/>
            </w14:solidFill>
          </w14:textFill>
        </w:rPr>
        <w:t>且电动葫芦与横梁</w:t>
      </w:r>
      <w:r>
        <w:rPr>
          <w:rFonts w:hint="eastAsia" w:ascii="仿宋" w:hAnsi="仿宋" w:eastAsia="仿宋" w:cs="仿宋"/>
          <w:color w:val="000000" w:themeColor="text1"/>
          <w:highlight w:val="none"/>
          <w:lang w:val="en-US" w:eastAsia="zh-CN"/>
          <w14:textFill>
            <w14:solidFill>
              <w14:schemeClr w14:val="tx1"/>
            </w14:solidFill>
          </w14:textFill>
        </w:rPr>
        <w:t>之间</w:t>
      </w:r>
      <w:r>
        <w:rPr>
          <w:rFonts w:hint="eastAsia" w:ascii="仿宋" w:hAnsi="仿宋" w:eastAsia="仿宋" w:cs="仿宋"/>
          <w:color w:val="000000" w:themeColor="text1"/>
          <w:highlight w:val="none"/>
          <w14:textFill>
            <w14:solidFill>
              <w14:schemeClr w14:val="tx1"/>
            </w14:solidFill>
          </w14:textFill>
        </w:rPr>
        <w:t>需安装防坠落装置。</w:t>
      </w:r>
    </w:p>
    <w:p w14:paraId="0B9B7E4B">
      <w:pPr>
        <w:pStyle w:val="16"/>
        <w:snapToGrid w:val="0"/>
        <w:spacing w:line="360" w:lineRule="auto"/>
        <w:ind w:firstLine="480" w:firstLineChars="20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3.2.11电动葫芦链盒防坠落；链条防脱落；吊钩使用重力式防脱止推片，吊钩上方设置弹簧式缓冲结构；操作手柄使用36V安全电压控制</w:t>
      </w:r>
      <w:r>
        <w:rPr>
          <w:rFonts w:hint="eastAsia" w:ascii="仿宋" w:hAnsi="仿宋" w:eastAsia="仿宋" w:cs="仿宋"/>
          <w:color w:val="000000" w:themeColor="text1"/>
          <w:lang w:eastAsia="zh-CN"/>
          <w14:textFill>
            <w14:solidFill>
              <w14:schemeClr w14:val="tx1"/>
            </w14:solidFill>
          </w14:textFill>
        </w:rPr>
        <w:t>。</w:t>
      </w:r>
    </w:p>
    <w:p w14:paraId="579BD05E">
      <w:pPr>
        <w:pStyle w:val="16"/>
        <w:snapToGrid w:val="0"/>
        <w:spacing w:line="360" w:lineRule="auto"/>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3.2.12每台柔性吊单独配备一个电源开关箱</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横梁与导轨之间</w:t>
      </w:r>
      <w:r>
        <w:rPr>
          <w:rFonts w:hint="eastAsia" w:ascii="仿宋" w:hAnsi="仿宋" w:eastAsia="仿宋" w:cs="仿宋"/>
          <w:color w:val="000000" w:themeColor="text1"/>
          <w:highlight w:val="none"/>
          <w14:textFill>
            <w14:solidFill>
              <w14:schemeClr w14:val="tx1"/>
            </w14:solidFill>
          </w14:textFill>
        </w:rPr>
        <w:t>需安装防坠落装置。</w:t>
      </w:r>
    </w:p>
    <w:p w14:paraId="23751D6C">
      <w:pPr>
        <w:pStyle w:val="16"/>
        <w:snapToGrid w:val="0"/>
        <w:spacing w:line="360" w:lineRule="auto"/>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3.2.13导轨喷涂长度及限载标识</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吊钩</w:t>
      </w:r>
      <w:r>
        <w:rPr>
          <w:rFonts w:hint="eastAsia" w:ascii="仿宋" w:hAnsi="仿宋" w:eastAsia="仿宋" w:cs="仿宋"/>
          <w:color w:val="000000" w:themeColor="text1"/>
          <w:highlight w:val="none"/>
          <w:lang w:val="en-US" w:eastAsia="zh-CN"/>
          <w14:textFill>
            <w14:solidFill>
              <w14:schemeClr w14:val="tx1"/>
            </w14:solidFill>
          </w14:textFill>
        </w:rPr>
        <w:t>需标注</w:t>
      </w:r>
      <w:r>
        <w:rPr>
          <w:rFonts w:hint="eastAsia" w:ascii="仿宋" w:hAnsi="仿宋" w:eastAsia="仿宋" w:cs="仿宋"/>
          <w:color w:val="000000" w:themeColor="text1"/>
          <w:highlight w:val="none"/>
          <w14:textFill>
            <w14:solidFill>
              <w14:schemeClr w14:val="tx1"/>
            </w14:solidFill>
          </w14:textFill>
        </w:rPr>
        <w:t>限载标识</w:t>
      </w:r>
    </w:p>
    <w:p w14:paraId="2E39B737">
      <w:pPr>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3.2.14主要元器件、零部件的选用和配置要求：电动葫芦、供电拖缆、滑触线应选用国内名牌产品；</w:t>
      </w:r>
      <w:r>
        <w:rPr>
          <w:rFonts w:hint="eastAsia" w:ascii="仿宋" w:hAnsi="仿宋" w:eastAsia="仿宋" w:cs="仿宋"/>
          <w:color w:val="000000" w:themeColor="text1"/>
          <w:lang w:val="en-US" w:eastAsia="zh-CN"/>
          <w14:textFill>
            <w14:solidFill>
              <w14:schemeClr w14:val="tx1"/>
            </w14:solidFill>
          </w14:textFill>
        </w:rPr>
        <w:t>1.5T电动</w:t>
      </w:r>
      <w:r>
        <w:rPr>
          <w:rFonts w:hint="eastAsia" w:ascii="仿宋" w:hAnsi="仿宋" w:eastAsia="仿宋" w:cs="仿宋"/>
          <w:color w:val="000000"/>
          <w:sz w:val="24"/>
          <w:szCs w:val="24"/>
          <w:highlight w:val="none"/>
          <w:lang w:val="en-US" w:eastAsia="zh-CN"/>
        </w:rPr>
        <w:t>吊葫芦选用德玛格、高博等同级别品牌。</w:t>
      </w:r>
    </w:p>
    <w:p w14:paraId="3A1DA39D">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3.2.15要求检修、维修、使用方便；</w:t>
      </w:r>
    </w:p>
    <w:p w14:paraId="52AD8E14">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3.2.16使用寿命大于10年；</w:t>
      </w:r>
    </w:p>
    <w:p w14:paraId="7C2024A1">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3.2.17大车、小车运行轻快。</w:t>
      </w:r>
    </w:p>
    <w:p w14:paraId="10E45110">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3.2.18导轨与目前招标方现场使用的通用。</w:t>
      </w:r>
    </w:p>
    <w:p w14:paraId="2A8B76E3">
      <w:pPr>
        <w:pStyle w:val="16"/>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3.2.19系统颜色与目前招标方现场使用的相同。</w:t>
      </w:r>
    </w:p>
    <w:p w14:paraId="7EB963E1">
      <w:pPr>
        <w:pStyle w:val="16"/>
        <w:snapToGrid w:val="0"/>
        <w:spacing w:line="360" w:lineRule="auto"/>
        <w:ind w:firstLine="480" w:firstLineChars="20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3.2.20所有传感器检测功能和精度需配备对应的传感器校验方式，并配备使用说明和检测工具，并提供工具检定证书。</w:t>
      </w:r>
    </w:p>
    <w:p w14:paraId="2EF234F7">
      <w:pPr>
        <w:pStyle w:val="16"/>
        <w:snapToGrid w:val="0"/>
        <w:spacing w:line="360" w:lineRule="auto"/>
        <w:ind w:firstLine="480" w:firstLineChars="20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3.2.21电器柜前需铺设符合要求的绝缘地垫。</w:t>
      </w:r>
    </w:p>
    <w:p w14:paraId="50B73C0E">
      <w:pPr>
        <w:pStyle w:val="16"/>
        <w:snapToGrid w:val="0"/>
        <w:spacing w:line="360" w:lineRule="auto"/>
        <w:ind w:firstLine="480" w:firstLineChars="200"/>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3.2.22柔性吊控制器需设置急停按钮，并需标注中文标识；上下运行键需有对应标识</w:t>
      </w:r>
    </w:p>
    <w:p w14:paraId="70E43C5C">
      <w:pPr>
        <w:pStyle w:val="16"/>
        <w:snapToGrid w:val="0"/>
        <w:spacing w:line="360" w:lineRule="auto"/>
        <w:ind w:firstLine="480" w:firstLineChars="200"/>
        <w:rPr>
          <w:rFonts w:hint="eastAsia" w:ascii="仿宋" w:hAnsi="仿宋" w:eastAsia="仿宋" w:cs="仿宋"/>
          <w:kern w:val="0"/>
          <w:sz w:val="24"/>
          <w:szCs w:val="24"/>
          <w:highlight w:val="none"/>
          <w:lang w:val="en-US" w:eastAsia="zh-CN" w:bidi="ar-SA"/>
        </w:rPr>
      </w:pPr>
      <w:r>
        <w:rPr>
          <w:rFonts w:hint="eastAsia" w:ascii="仿宋" w:hAnsi="仿宋" w:eastAsia="仿宋" w:cs="仿宋"/>
          <w:color w:val="000000" w:themeColor="text1"/>
          <w:lang w:val="en-US" w:eastAsia="zh-CN"/>
          <w14:textFill>
            <w14:solidFill>
              <w14:schemeClr w14:val="tx1"/>
            </w14:solidFill>
          </w14:textFill>
        </w:rPr>
        <w:t>3.3</w:t>
      </w:r>
      <w:r>
        <w:rPr>
          <w:rFonts w:hint="eastAsia" w:ascii="仿宋" w:hAnsi="仿宋" w:eastAsia="仿宋" w:cs="仿宋"/>
          <w:kern w:val="0"/>
          <w:sz w:val="24"/>
          <w:szCs w:val="24"/>
          <w:highlight w:val="none"/>
          <w:lang w:val="en-US" w:eastAsia="zh-CN" w:bidi="ar-SA"/>
        </w:rPr>
        <w:t>安全及环保要求</w:t>
      </w:r>
    </w:p>
    <w:p w14:paraId="277FD045">
      <w:pPr>
        <w:pStyle w:val="16"/>
        <w:snapToGrid w:val="0"/>
        <w:spacing w:line="360" w:lineRule="auto"/>
        <w:ind w:firstLine="480" w:firstLineChars="200"/>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3.3.1投标方所供的货物（或生产线），必须符合中国最新版的安全、环保、消防及职业健康的法律、法规要求，符合行业安全标准及项目所在地政府有关特殊要求。</w:t>
      </w:r>
    </w:p>
    <w:p w14:paraId="5341A46E">
      <w:pPr>
        <w:numPr>
          <w:ilvl w:val="0"/>
          <w:numId w:val="0"/>
        </w:numPr>
        <w:adjustRightInd w:val="0"/>
        <w:snapToGrid w:val="0"/>
        <w:spacing w:line="360" w:lineRule="auto"/>
        <w:ind w:leftChars="0" w:firstLine="480" w:firstLineChars="200"/>
        <w:rPr>
          <w:rFonts w:ascii="仿宋" w:hAnsi="仿宋" w:eastAsia="仿宋" w:cs="仿宋"/>
          <w:sz w:val="24"/>
          <w:szCs w:val="24"/>
          <w:highlight w:val="none"/>
        </w:rPr>
      </w:pPr>
      <w:r>
        <w:rPr>
          <w:rFonts w:hint="eastAsia" w:ascii="仿宋" w:hAnsi="仿宋" w:eastAsia="仿宋" w:cs="仿宋"/>
          <w:kern w:val="0"/>
          <w:sz w:val="24"/>
          <w:szCs w:val="24"/>
          <w:highlight w:val="none"/>
          <w:lang w:val="en-US" w:eastAsia="zh-CN" w:bidi="ar-SA"/>
        </w:rPr>
        <w:t>3.3.2</w:t>
      </w:r>
      <w:r>
        <w:rPr>
          <w:rFonts w:hint="eastAsia" w:ascii="仿宋" w:hAnsi="仿宋" w:eastAsia="仿宋" w:cs="仿宋"/>
          <w:sz w:val="24"/>
          <w:szCs w:val="24"/>
          <w:highlight w:val="none"/>
        </w:rPr>
        <w:t>货物（或生产线）应完整且所有的零部件应该安装安全、牢固，外观无损伤，所有的焊缝饱满、无残渣等缺陷且符合国家及行业相关标准。</w:t>
      </w:r>
    </w:p>
    <w:p w14:paraId="4B315439">
      <w:pPr>
        <w:numPr>
          <w:ilvl w:val="0"/>
          <w:numId w:val="0"/>
        </w:numPr>
        <w:snapToGrid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kern w:val="0"/>
          <w:sz w:val="24"/>
          <w:szCs w:val="24"/>
          <w:highlight w:val="none"/>
          <w:lang w:val="en-US" w:eastAsia="zh-CN" w:bidi="ar-SA"/>
        </w:rPr>
        <w:t>3.3.3</w:t>
      </w:r>
      <w:r>
        <w:rPr>
          <w:rFonts w:hint="eastAsia" w:ascii="仿宋" w:hAnsi="仿宋" w:eastAsia="仿宋" w:cs="仿宋"/>
          <w:sz w:val="24"/>
          <w:szCs w:val="24"/>
          <w:highlight w:val="none"/>
        </w:rPr>
        <w:t>生产线存在安全风险的工位必须采取安全措施，如：线体防护板、高温防护、光栅等。</w:t>
      </w:r>
    </w:p>
    <w:p w14:paraId="1339249C">
      <w:pPr>
        <w:numPr>
          <w:ilvl w:val="0"/>
          <w:numId w:val="0"/>
        </w:num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3.3.4</w:t>
      </w:r>
      <w:r>
        <w:rPr>
          <w:rFonts w:hint="eastAsia" w:ascii="仿宋" w:hAnsi="仿宋" w:eastAsia="仿宋" w:cs="仿宋"/>
          <w:sz w:val="24"/>
          <w:szCs w:val="24"/>
          <w:highlight w:val="none"/>
        </w:rPr>
        <w:t>从安全生产的角度考虑各单元及工位应设有急停按钮，并有明显标识。</w:t>
      </w:r>
    </w:p>
    <w:p w14:paraId="3A6A09A8">
      <w:pPr>
        <w:pStyle w:val="11"/>
        <w:ind w:left="420" w:leftChars="20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3.3.5</w:t>
      </w:r>
      <w:r>
        <w:rPr>
          <w:rFonts w:hint="eastAsia" w:ascii="仿宋" w:hAnsi="仿宋" w:eastAsia="仿宋" w:cs="仿宋"/>
          <w:sz w:val="24"/>
          <w:szCs w:val="24"/>
          <w:highlight w:val="none"/>
        </w:rPr>
        <w:t>单元操作面板上有上电按钮和急停按钮，上电后可对系统进行操作。</w:t>
      </w:r>
    </w:p>
    <w:p w14:paraId="603615F1">
      <w:pPr>
        <w:widowControl w:val="0"/>
        <w:numPr>
          <w:ilvl w:val="0"/>
          <w:numId w:val="0"/>
        </w:numPr>
        <w:snapToGrid w:val="0"/>
        <w:spacing w:line="360" w:lineRule="auto"/>
        <w:ind w:left="0" w:leftChars="0"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3.3.6所有电气安装和施工均应符合我国现行行业标准（规范），电器柜需张贴当心触电警示标识。</w:t>
      </w:r>
    </w:p>
    <w:p w14:paraId="5211F3C2">
      <w:pPr>
        <w:numPr>
          <w:ilvl w:val="0"/>
          <w:numId w:val="0"/>
        </w:numPr>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3.3.7</w:t>
      </w:r>
      <w:r>
        <w:rPr>
          <w:rFonts w:hint="eastAsia" w:ascii="仿宋" w:hAnsi="仿宋" w:eastAsia="仿宋" w:cs="仿宋"/>
          <w:sz w:val="24"/>
          <w:szCs w:val="24"/>
          <w:highlight w:val="none"/>
        </w:rPr>
        <w:t>投标方必须提供所供设备相应的安全操作规程和安全事项的说明书，危险化学品“一书一签”；负责对招标方相关人员开展“四新”安全培训。</w:t>
      </w:r>
    </w:p>
    <w:p w14:paraId="5B809AF9">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3.3.8</w:t>
      </w:r>
      <w:r>
        <w:rPr>
          <w:rFonts w:hint="eastAsia" w:ascii="仿宋" w:hAnsi="仿宋" w:eastAsia="仿宋" w:cs="仿宋"/>
          <w:sz w:val="24"/>
          <w:szCs w:val="24"/>
          <w:highlight w:val="none"/>
        </w:rPr>
        <w:t>货物（或生产线）应运行稳定、可靠、安全，无非正常变形，非正常振动，无异常声音；无漏水、漏液、漏气（汽）、漏电等现象。</w:t>
      </w:r>
    </w:p>
    <w:p w14:paraId="49F8405B">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3.3.9</w:t>
      </w:r>
      <w:r>
        <w:rPr>
          <w:rFonts w:hint="eastAsia" w:ascii="仿宋" w:hAnsi="仿宋" w:eastAsia="仿宋" w:cs="仿宋"/>
          <w:sz w:val="24"/>
          <w:szCs w:val="24"/>
          <w:highlight w:val="none"/>
        </w:rPr>
        <w:t>所有的管路和线缆等，接头应完全正确、可靠地联接；应排列有序（正确、牢固、整齐），有必要的防护，无皱褶、收缩和裂缝等不良现象。</w:t>
      </w:r>
    </w:p>
    <w:p w14:paraId="134680E8">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3.3.10</w:t>
      </w:r>
      <w:r>
        <w:rPr>
          <w:rFonts w:hint="eastAsia" w:ascii="仿宋" w:hAnsi="仿宋" w:eastAsia="仿宋" w:cs="仿宋"/>
          <w:sz w:val="24"/>
          <w:szCs w:val="24"/>
          <w:highlight w:val="none"/>
        </w:rPr>
        <w:t>地线联接和地极符合国际（ISO/IEC）标准规范，电器柜需张贴当心触电警示标识。</w:t>
      </w:r>
    </w:p>
    <w:p w14:paraId="58F47FD1">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3.3.11</w:t>
      </w:r>
      <w:r>
        <w:rPr>
          <w:rFonts w:hint="eastAsia" w:ascii="仿宋" w:hAnsi="仿宋" w:eastAsia="仿宋" w:cs="仿宋"/>
          <w:sz w:val="24"/>
          <w:szCs w:val="24"/>
          <w:highlight w:val="none"/>
        </w:rPr>
        <w:t>货物（或生产线）正常运行时，噪声等环境影响因素满足国家（《工作场所物理因素测量 噪声》GBZ/T 189.8-2007. 噪音≤80dB(A)（距设备一米处测量））和当地环保主管部门规定。项目验收时，投标方须提供</w:t>
      </w:r>
      <w:r>
        <w:rPr>
          <w:rFonts w:hint="eastAsia" w:ascii="仿宋_GB2312" w:hAnsi="宋体" w:eastAsia="仿宋_GB2312" w:cs="宋体"/>
          <w:sz w:val="24"/>
          <w:szCs w:val="24"/>
          <w:highlight w:val="none"/>
          <w:lang w:bidi="ar"/>
        </w:rPr>
        <w:t>由第三方监测机构出具的噪音合格监测报告。</w:t>
      </w:r>
    </w:p>
    <w:p w14:paraId="77359B98">
      <w:pPr>
        <w:numPr>
          <w:ilvl w:val="0"/>
          <w:numId w:val="0"/>
        </w:numPr>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3.3.12</w:t>
      </w:r>
      <w:r>
        <w:rPr>
          <w:rFonts w:hint="eastAsia" w:ascii="仿宋" w:hAnsi="仿宋" w:eastAsia="仿宋" w:cs="仿宋"/>
          <w:sz w:val="24"/>
          <w:szCs w:val="24"/>
          <w:highlight w:val="none"/>
        </w:rPr>
        <w:t>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14:paraId="00A0F2E1">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3.3.13</w:t>
      </w:r>
      <w:r>
        <w:rPr>
          <w:rFonts w:hint="eastAsia" w:ascii="仿宋" w:hAnsi="仿宋" w:eastAsia="仿宋" w:cs="仿宋"/>
          <w:sz w:val="24"/>
          <w:szCs w:val="24"/>
          <w:highlight w:val="none"/>
        </w:rPr>
        <w:t>涉及需要进行环保、职业卫生强制检测的项目（设备、设施），应由中标方提供权威第三方检测机构出具的完工检测报告。</w:t>
      </w:r>
    </w:p>
    <w:p w14:paraId="341E511E">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3.3.14</w:t>
      </w:r>
      <w:r>
        <w:rPr>
          <w:rFonts w:hint="eastAsia" w:ascii="仿宋" w:hAnsi="仿宋" w:eastAsia="仿宋" w:cs="仿宋"/>
          <w:sz w:val="24"/>
          <w:szCs w:val="24"/>
          <w:highlight w:val="none"/>
        </w:rPr>
        <w:t>特种设备应提供济南市特种设备检验研究院出具的首次检验报告，招标方协助中标方办理相关注册登记手续。</w:t>
      </w:r>
    </w:p>
    <w:p w14:paraId="3C39DAA1">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3.3.15</w:t>
      </w:r>
      <w:r>
        <w:rPr>
          <w:rFonts w:hint="eastAsia" w:ascii="仿宋" w:hAnsi="仿宋" w:eastAsia="仿宋" w:cs="仿宋"/>
          <w:sz w:val="24"/>
          <w:szCs w:val="24"/>
          <w:highlight w:val="none"/>
        </w:rPr>
        <w:t>机器人作业区域安全防护。机器人作业区域需安装安全防护隔离，安全防护隔离形式：采用型钢材质整体式设计，由方管焊接框架结构和金属网格组成，防护栏立柱和防护栏采用螺栓连接；安全门采用门联锁进行安全防护。门联锁必须保证，只有当安全门处于完全关闭状态时，才容许机器人自动运行，当安全门打开时机器人须立即停止运行。</w:t>
      </w:r>
    </w:p>
    <w:p w14:paraId="5FCFE0F9">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3.3.16</w:t>
      </w:r>
      <w:r>
        <w:rPr>
          <w:rFonts w:hint="eastAsia" w:ascii="仿宋" w:hAnsi="仿宋" w:eastAsia="仿宋" w:cs="仿宋"/>
          <w:sz w:val="24"/>
          <w:szCs w:val="24"/>
          <w:highlight w:val="none"/>
        </w:rPr>
        <w:t>投标方所投货物外观颜色标准按招标方提供的标准《Q/ZZ 30070—</w:t>
      </w:r>
      <w:r>
        <w:rPr>
          <w:rFonts w:hint="eastAsia" w:ascii="仿宋" w:hAnsi="仿宋" w:eastAsia="仿宋" w:cs="仿宋"/>
          <w:sz w:val="24"/>
          <w:szCs w:val="24"/>
          <w:highlight w:val="none"/>
          <w:lang w:val="en-US" w:eastAsia="zh-CN"/>
        </w:rPr>
        <w:t>2020》或双方书面约定的标准执行。</w:t>
      </w:r>
    </w:p>
    <w:p w14:paraId="40663059">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3.3.17</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施工前须提供安全施工技术方案（含危险源辨识与风险控制措施内容）及详细的安全施工措施并经</w:t>
      </w:r>
      <w:r>
        <w:rPr>
          <w:rFonts w:hint="eastAsia" w:ascii="仿宋" w:hAnsi="仿宋" w:eastAsia="仿宋" w:cs="仿宋"/>
          <w:sz w:val="24"/>
          <w:szCs w:val="24"/>
          <w:highlight w:val="none"/>
        </w:rPr>
        <w:t>招标方</w:t>
      </w:r>
      <w:r>
        <w:rPr>
          <w:rFonts w:hint="eastAsia" w:ascii="仿宋" w:hAnsi="仿宋" w:eastAsia="仿宋" w:cs="仿宋"/>
          <w:sz w:val="24"/>
          <w:szCs w:val="24"/>
          <w:highlight w:val="none"/>
          <w:lang w:val="en-US" w:eastAsia="zh-CN"/>
        </w:rPr>
        <w:t>认可，并签订《安全协议》。</w:t>
      </w:r>
    </w:p>
    <w:p w14:paraId="3C785983">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3.3.18</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在整个项目过程中必须严格执行</w:t>
      </w:r>
      <w:r>
        <w:rPr>
          <w:rFonts w:hint="eastAsia" w:ascii="仿宋" w:hAnsi="仿宋" w:eastAsia="仿宋" w:cs="仿宋"/>
          <w:sz w:val="24"/>
          <w:szCs w:val="24"/>
          <w:highlight w:val="none"/>
        </w:rPr>
        <w:t>招标方</w:t>
      </w:r>
      <w:r>
        <w:rPr>
          <w:rFonts w:hint="eastAsia" w:ascii="仿宋" w:hAnsi="仿宋" w:eastAsia="仿宋" w:cs="仿宋"/>
          <w:sz w:val="24"/>
          <w:szCs w:val="24"/>
          <w:highlight w:val="none"/>
          <w:lang w:val="en-US" w:eastAsia="zh-CN"/>
        </w:rPr>
        <w:t>要求及国家相关安全、消防、环保等法律、法规。</w:t>
      </w:r>
    </w:p>
    <w:p w14:paraId="19344D4E">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3.3.21进入现场所有的特殊工种的操作人员必须持有相应的操作资格证（如电工、焊工、高空、叉车证等）；进入现场所有设备必须符合国家标准。</w:t>
      </w:r>
    </w:p>
    <w:p w14:paraId="252C21C5">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3.3.22</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需采用隔栏或围栏的形式将施工区域与生产区域隔开，不能影响生产。</w:t>
      </w:r>
    </w:p>
    <w:p w14:paraId="1EE67EB2">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3.3.23在没有正式的书面批准和现场的化学制品核准情况下，所有的化学制品不允许进入施工现场，现场不允许储藏化学制品、油漆、燃料等，严禁</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带过量、超期的气瓶（氧气/乙炔）到现场(保证安全附件完好)，替换钢瓶前，</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必须搬出空瓶。</w:t>
      </w:r>
    </w:p>
    <w:p w14:paraId="4DEF895E">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3.3.24设备的主机、附件及附属设施应具有安全防护措施，以避免操作者身体与设备的危险区域接触。</w:t>
      </w:r>
    </w:p>
    <w:p w14:paraId="7A795A81">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3.3.25所有进入现场的人员必须穿戴合适的劳保用品，例如劳保鞋、安全帽、带侧面保护的眼镜等，并对现场施工做安全标识、警示标识。</w:t>
      </w:r>
    </w:p>
    <w:p w14:paraId="47E18E51">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3.3.26所有的安全说明书及安全标志须符合国家标准，或用中文标识，在设备装运时，所有安全标志须由</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贴好。</w:t>
      </w:r>
    </w:p>
    <w:p w14:paraId="326560EE">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3.3.27高处作业施工人员，严禁投掷物料，并做安全标识，做好防高处坠落、物体打击、防触电、防机械伤害的各项安全防护工作。</w:t>
      </w:r>
    </w:p>
    <w:p w14:paraId="36FD76A3">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3.3.28现场的各种安全防护设施，未经招标方批准，任何人不准随意拆改；</w:t>
      </w:r>
    </w:p>
    <w:p w14:paraId="65BB1125">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3.3.29施工现场临时用电执行招标方要求及国家相关规定。</w:t>
      </w:r>
    </w:p>
    <w:p w14:paraId="104A1C0E">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3.3.30进入现场，需按要求办理出入证件，招标方协助相关证件的办理；</w:t>
      </w:r>
    </w:p>
    <w:p w14:paraId="74416ADD">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3.3.31设备的安全与环保要求必须符合国家标准，在运转过程中应保证安全、可靠，无漏电、漏气现象。</w:t>
      </w:r>
    </w:p>
    <w:p w14:paraId="0E7B7877">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3.3.32</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在安装现场施工时，必须严格遵守招标方制定的安全、防火规定和其它规章制度，遵守国家各项安全制度，并制订安全预案，文明施工，如因</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施工不遵守规章制度而造成的各种损失由</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负全责。</w:t>
      </w:r>
    </w:p>
    <w:p w14:paraId="37CCF50A">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应保证设备安装现场的环境卫生，在设备及材料运进工厂时应确保不损坏车间地表面和厂房内设施并按招标方规定位置存放，不得在施工现场进行打磨、除锈。现场材料和设备要堆放整齐，生产、生活垃圾必须及时清理干净，为保证整个安装及调试过程中现场和设备内部的清洁，</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应采取切实可行的措施，最终的深度清洁由</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负责。</w:t>
      </w:r>
    </w:p>
    <w:p w14:paraId="51A82885">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在整个项目施工期间，所有设备、零部件、制成品、工具、材料等均由</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看管、保护，损坏及丢失招标方一概不负责任，招标方只负责提供场所。</w:t>
      </w:r>
    </w:p>
    <w:p w14:paraId="3D9F4D55">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所有主要的有可能做的材料（支吊架、连杆等）的表面清洁、切割、打磨、焊接和总体制作、底漆涂刷等工作必须在安装场地以外进行；任何需在现场制作、管子切割、焊接、攻丝等工作必须在指定的区域进行；</w:t>
      </w:r>
    </w:p>
    <w:p w14:paraId="5D467B1F">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在开工前须提供系统设计安全方案，设备安装调试阶段的高风险项目安全预案，预案中要体现安全措施费用及人员配置。</w:t>
      </w:r>
    </w:p>
    <w:p w14:paraId="369BD498">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lang w:val="en-US" w:eastAsia="zh-CN"/>
        </w:rPr>
      </w:pPr>
      <w:r>
        <w:rPr>
          <w:rFonts w:hint="eastAsia" w:ascii="仿宋" w:hAnsi="仿宋" w:eastAsia="仿宋" w:cs="仿宋"/>
          <w:sz w:val="24"/>
          <w:szCs w:val="24"/>
          <w:highlight w:val="none"/>
          <w:lang w:val="en-US" w:eastAsia="zh-CN"/>
        </w:rPr>
        <w:t>设备安装调试过程中，</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须听从招标方指挥。</w:t>
      </w:r>
    </w:p>
    <w:p w14:paraId="044C2A7A">
      <w:pPr>
        <w:snapToGrid w:val="0"/>
        <w:spacing w:line="360" w:lineRule="auto"/>
        <w:ind w:firstLine="422" w:firstLineChars="200"/>
        <w:outlineLvl w:val="1"/>
        <w:rPr>
          <w:rFonts w:ascii="仿宋" w:hAnsi="仿宋" w:eastAsia="仿宋" w:cs="仿宋"/>
          <w:b/>
          <w:bCs/>
          <w:color w:val="000000" w:themeColor="text1"/>
          <w14:textFill>
            <w14:solidFill>
              <w14:schemeClr w14:val="tx1"/>
            </w14:solidFill>
          </w14:textFill>
        </w:rPr>
      </w:pPr>
      <w:bookmarkStart w:id="301" w:name="_Toc16458"/>
      <w:bookmarkStart w:id="302" w:name="_Toc11655"/>
      <w:bookmarkStart w:id="303" w:name="_Toc4932"/>
      <w:bookmarkStart w:id="304" w:name="_Toc17206"/>
      <w:bookmarkStart w:id="305" w:name="_Toc20271"/>
      <w:bookmarkStart w:id="306" w:name="_Toc11582"/>
      <w:bookmarkStart w:id="307" w:name="_Toc12980"/>
      <w:bookmarkStart w:id="308" w:name="_Toc1717"/>
      <w:bookmarkStart w:id="309" w:name="_Toc16723"/>
      <w:bookmarkStart w:id="310" w:name="_Toc73"/>
      <w:bookmarkStart w:id="311" w:name="_Toc2382"/>
      <w:bookmarkStart w:id="312" w:name="_Toc24239"/>
      <w:bookmarkStart w:id="313" w:name="_Toc28134"/>
      <w:bookmarkStart w:id="314" w:name="_Toc31832"/>
      <w:bookmarkStart w:id="315" w:name="_Toc31509"/>
      <w:bookmarkStart w:id="316" w:name="_Toc900"/>
      <w:bookmarkStart w:id="317" w:name="_Toc466"/>
      <w:bookmarkStart w:id="318" w:name="_Toc14715"/>
      <w:bookmarkStart w:id="319" w:name="_Toc14754"/>
      <w:bookmarkStart w:id="320" w:name="_Toc30526"/>
      <w:bookmarkStart w:id="321" w:name="_Toc24311"/>
      <w:bookmarkStart w:id="322" w:name="_Toc28651"/>
      <w:bookmarkStart w:id="323" w:name="_Toc293"/>
      <w:bookmarkStart w:id="324" w:name="_Toc3721"/>
      <w:bookmarkStart w:id="325" w:name="_Toc73112402"/>
      <w:bookmarkStart w:id="326" w:name="_Toc8256"/>
      <w:bookmarkStart w:id="327" w:name="_Toc16595"/>
      <w:bookmarkStart w:id="328" w:name="_Toc963"/>
      <w:bookmarkStart w:id="329" w:name="_Toc3096"/>
      <w:bookmarkStart w:id="330" w:name="_Toc14191"/>
      <w:bookmarkStart w:id="331" w:name="_Toc15063"/>
      <w:bookmarkStart w:id="332" w:name="_Toc24970"/>
      <w:bookmarkStart w:id="333" w:name="_Toc11448"/>
      <w:bookmarkStart w:id="334" w:name="_Toc13730"/>
      <w:bookmarkStart w:id="335" w:name="_Toc2761"/>
      <w:bookmarkStart w:id="336" w:name="_Toc25096"/>
      <w:bookmarkStart w:id="337" w:name="_Toc8333"/>
      <w:bookmarkStart w:id="338" w:name="_Toc31046"/>
      <w:bookmarkStart w:id="339" w:name="_Toc14086"/>
      <w:bookmarkStart w:id="340" w:name="_Toc6116"/>
      <w:bookmarkStart w:id="341" w:name="_Toc11237"/>
      <w:bookmarkStart w:id="342" w:name="_Toc10224"/>
      <w:bookmarkStart w:id="343" w:name="_Toc28302"/>
      <w:bookmarkStart w:id="344" w:name="_Toc10838"/>
      <w:bookmarkStart w:id="345" w:name="_Toc12383"/>
      <w:r>
        <w:rPr>
          <w:rFonts w:hint="eastAsia" w:ascii="仿宋" w:hAnsi="仿宋" w:eastAsia="仿宋" w:cs="仿宋"/>
          <w:b/>
          <w:bCs/>
          <w:color w:val="000000" w:themeColor="text1"/>
          <w14:textFill>
            <w14:solidFill>
              <w14:schemeClr w14:val="tx1"/>
            </w14:solidFill>
          </w14:textFill>
        </w:rPr>
        <w:t>4特别提示</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12C0287A">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本技术要求，仅对功能、设计、结构、性能、安装和试验等方面，提出了最低和一般性的技术要求；并未对一切技术细节作出规定，未充分引述有关标准和规范的条文。投标方应保证提供的货物是符合本技术标书和国家最新的有关标准、规范的优质产品。若有异议，不管是多么微小，都应在投标文件“技术偏离”中予以详细说明。</w:t>
      </w:r>
    </w:p>
    <w:p w14:paraId="03E64C03">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4.2本技术要求所使用的标准、规范等，如与投标方所执行的标准、规范不一致时，应按高于本技术要求所列的标准、规范执行，并在投标文件“技术偏离”中予以说明。</w:t>
      </w:r>
    </w:p>
    <w:p w14:paraId="6F203283">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4.3投标方认为所供货物必需由招标方配备、解决或提供的其它要求，如设备基础隔振和减振设施、软化水、洁净气源等，均应在投标文件“技术偏离”中予以充分说明。</w:t>
      </w:r>
    </w:p>
    <w:p w14:paraId="1CC29F65">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4.4投标方须负责在终验收前，在招标方设备现场对投标设备实施电能质量和公用电网谐波检测并出具检测报告。检测工作由投标方负责安排第三方实施（第三方的资质须由招标方认可）。</w:t>
      </w:r>
    </w:p>
    <w:p w14:paraId="70C09FBA">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4.5投标文件中，针对“特别提示”条款所做的回应，将作为投标方能否中标的重要依据之一。</w:t>
      </w:r>
      <w:bookmarkStart w:id="346" w:name="_Toc133783970"/>
    </w:p>
    <w:p w14:paraId="341EE611">
      <w:pPr>
        <w:pStyle w:val="16"/>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4.6投标方所投货物外观颜色标准按招标方提供的标准或双方书面约定的标准执行。</w:t>
      </w:r>
    </w:p>
    <w:p w14:paraId="532D81D4">
      <w:pPr>
        <w:pStyle w:val="16"/>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p>
    <w:p w14:paraId="38EACF1A">
      <w:pPr>
        <w:pStyle w:val="16"/>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p>
    <w:p w14:paraId="21D80882">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347" w:name="_Toc1962"/>
      <w:bookmarkStart w:id="348" w:name="_Toc10828"/>
      <w:bookmarkStart w:id="349" w:name="_Toc11390"/>
      <w:bookmarkStart w:id="350" w:name="_Toc8892"/>
      <w:bookmarkStart w:id="351" w:name="_Toc28398"/>
      <w:bookmarkStart w:id="352" w:name="_Toc19805"/>
      <w:bookmarkStart w:id="353" w:name="_Toc21086"/>
      <w:bookmarkStart w:id="354" w:name="_Toc30892"/>
      <w:bookmarkStart w:id="355" w:name="_Toc17909"/>
      <w:bookmarkStart w:id="356" w:name="_Toc20260"/>
      <w:bookmarkStart w:id="357" w:name="_Toc27327"/>
      <w:bookmarkStart w:id="358" w:name="_Toc24173"/>
      <w:bookmarkStart w:id="359" w:name="_Toc11725"/>
      <w:bookmarkStart w:id="360" w:name="_Toc13526"/>
      <w:bookmarkStart w:id="361" w:name="_Toc22710"/>
      <w:bookmarkStart w:id="362" w:name="_Toc19022"/>
      <w:bookmarkStart w:id="363" w:name="_Toc16316"/>
      <w:bookmarkStart w:id="364" w:name="_Toc4641"/>
      <w:bookmarkStart w:id="365" w:name="_Toc16317"/>
      <w:bookmarkStart w:id="366" w:name="_Toc16352"/>
      <w:bookmarkStart w:id="367" w:name="_Toc22516"/>
      <w:bookmarkStart w:id="368" w:name="_Toc29006"/>
      <w:bookmarkStart w:id="369" w:name="_Toc1909"/>
      <w:bookmarkStart w:id="370" w:name="_Toc7258"/>
      <w:bookmarkStart w:id="371" w:name="_Toc13783"/>
      <w:bookmarkStart w:id="372" w:name="_Toc26601"/>
      <w:bookmarkStart w:id="373" w:name="_Toc73112403"/>
      <w:bookmarkStart w:id="374" w:name="_Toc26551"/>
      <w:bookmarkStart w:id="375" w:name="_Toc19812"/>
      <w:bookmarkStart w:id="376" w:name="_Toc20329"/>
      <w:bookmarkStart w:id="377" w:name="_Toc29222"/>
      <w:bookmarkStart w:id="378" w:name="_Toc25915"/>
      <w:bookmarkStart w:id="379" w:name="_Toc1171"/>
      <w:bookmarkStart w:id="380" w:name="_Toc6352"/>
      <w:bookmarkStart w:id="381" w:name="_Toc32382"/>
      <w:bookmarkStart w:id="382" w:name="_Toc22156"/>
      <w:bookmarkStart w:id="383" w:name="_Toc14583"/>
      <w:bookmarkStart w:id="384" w:name="_Toc20994"/>
      <w:bookmarkStart w:id="385" w:name="_Toc28745"/>
      <w:bookmarkStart w:id="386" w:name="_Toc31361"/>
      <w:bookmarkStart w:id="387" w:name="_Toc3808"/>
      <w:bookmarkStart w:id="388" w:name="_Toc19081"/>
      <w:bookmarkStart w:id="389" w:name="_Toc22347"/>
      <w:bookmarkStart w:id="390" w:name="_Toc22662"/>
      <w:bookmarkStart w:id="391" w:name="_Toc31816"/>
      <w:bookmarkStart w:id="392" w:name="_Toc20841"/>
      <w:r>
        <w:rPr>
          <w:rFonts w:hint="eastAsia" w:ascii="仿宋" w:hAnsi="仿宋" w:eastAsia="仿宋" w:cs="仿宋"/>
          <w:b/>
          <w:bCs/>
          <w:color w:val="000000" w:themeColor="text1"/>
          <w14:textFill>
            <w14:solidFill>
              <w14:schemeClr w14:val="tx1"/>
            </w14:solidFill>
          </w14:textFill>
        </w:rPr>
        <w:t>第三章供货范围及供货方式</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4CFD4078">
      <w:pPr>
        <w:pStyle w:val="3"/>
        <w:snapToGrid w:val="0"/>
        <w:spacing w:before="0" w:after="0" w:line="360" w:lineRule="auto"/>
        <w:ind w:left="6" w:firstLine="474"/>
        <w:jc w:val="center"/>
        <w:rPr>
          <w:rFonts w:ascii="仿宋" w:hAnsi="仿宋" w:eastAsia="仿宋" w:cs="仿宋"/>
          <w:b/>
          <w:bCs/>
          <w:color w:val="000000" w:themeColor="text1"/>
          <w:sz w:val="24"/>
          <w:szCs w:val="24"/>
          <w14:textFill>
            <w14:solidFill>
              <w14:schemeClr w14:val="tx1"/>
            </w14:solidFill>
          </w14:textFill>
        </w:rPr>
      </w:pPr>
      <w:bookmarkStart w:id="393" w:name="_Toc3358"/>
      <w:bookmarkStart w:id="394" w:name="_Toc8238"/>
      <w:bookmarkStart w:id="395" w:name="_Toc19908"/>
      <w:bookmarkStart w:id="396" w:name="_Toc32716"/>
      <w:bookmarkStart w:id="397" w:name="_Toc4896"/>
      <w:bookmarkStart w:id="398" w:name="_Toc11227"/>
      <w:bookmarkStart w:id="399" w:name="_Toc73112404"/>
      <w:bookmarkStart w:id="400" w:name="_Toc12581"/>
      <w:bookmarkStart w:id="401" w:name="_Toc680"/>
      <w:bookmarkStart w:id="402" w:name="_Toc5131"/>
      <w:bookmarkStart w:id="403" w:name="_Toc5032"/>
      <w:bookmarkStart w:id="404" w:name="_Toc25354"/>
      <w:bookmarkStart w:id="405" w:name="_Toc2127"/>
      <w:bookmarkStart w:id="406" w:name="_Toc6629"/>
      <w:bookmarkStart w:id="407" w:name="_Toc20066"/>
      <w:bookmarkStart w:id="408" w:name="_Toc27831"/>
      <w:bookmarkStart w:id="409" w:name="_Toc19155"/>
      <w:bookmarkStart w:id="410" w:name="_Toc19860"/>
      <w:bookmarkStart w:id="411" w:name="_Toc13960"/>
      <w:bookmarkStart w:id="412" w:name="_Toc28344"/>
      <w:bookmarkStart w:id="413" w:name="_Toc14383"/>
      <w:bookmarkStart w:id="414" w:name="_Toc13578"/>
      <w:bookmarkStart w:id="415" w:name="_Toc8963"/>
      <w:bookmarkStart w:id="416" w:name="_Toc2288"/>
      <w:bookmarkStart w:id="417" w:name="_Toc29751"/>
      <w:bookmarkStart w:id="418" w:name="_Toc20301"/>
      <w:bookmarkStart w:id="419" w:name="_Toc9580"/>
      <w:bookmarkStart w:id="420" w:name="_Toc9994"/>
      <w:bookmarkStart w:id="421" w:name="_Toc32542"/>
      <w:bookmarkStart w:id="422" w:name="_Toc20721"/>
      <w:bookmarkStart w:id="423" w:name="_Toc27567"/>
      <w:bookmarkStart w:id="424" w:name="_Toc6219"/>
      <w:bookmarkStart w:id="425" w:name="_Toc133783971"/>
      <w:bookmarkStart w:id="426" w:name="_Toc17404"/>
      <w:bookmarkStart w:id="427" w:name="_Toc9571"/>
      <w:bookmarkStart w:id="428" w:name="_Toc969"/>
      <w:bookmarkStart w:id="429" w:name="_Toc32741"/>
      <w:bookmarkStart w:id="430" w:name="_Toc32286"/>
      <w:bookmarkStart w:id="431" w:name="_Toc5052"/>
      <w:bookmarkStart w:id="432" w:name="_Toc18238"/>
      <w:bookmarkStart w:id="433" w:name="_Toc4032"/>
      <w:bookmarkStart w:id="434" w:name="_Toc11979"/>
      <w:bookmarkStart w:id="435" w:name="_Toc6864"/>
      <w:bookmarkStart w:id="436" w:name="_Toc16027"/>
      <w:bookmarkStart w:id="437" w:name="_Toc19111"/>
      <w:bookmarkStart w:id="438" w:name="_Toc10323"/>
      <w:bookmarkStart w:id="439" w:name="_Toc31722"/>
      <w:bookmarkStart w:id="440" w:name="_Toc32750"/>
      <w:bookmarkStart w:id="441" w:name="_Toc26946"/>
      <w:bookmarkStart w:id="442" w:name="_Toc3639"/>
      <w:r>
        <w:rPr>
          <w:rFonts w:hint="eastAsia" w:ascii="仿宋" w:hAnsi="仿宋" w:eastAsia="仿宋" w:cs="仿宋"/>
          <w:b/>
          <w:bCs/>
          <w:color w:val="000000" w:themeColor="text1"/>
          <w:sz w:val="24"/>
          <w:szCs w:val="24"/>
          <w14:textFill>
            <w14:solidFill>
              <w14:schemeClr w14:val="tx1"/>
            </w14:solidFill>
          </w14:textFill>
        </w:rPr>
        <w:t>第一节供货范围</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03A34799">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443" w:name="_Toc73112405"/>
      <w:bookmarkStart w:id="444" w:name="_Toc18305"/>
      <w:bookmarkStart w:id="445" w:name="_Toc28468"/>
      <w:bookmarkStart w:id="446" w:name="_Toc29417"/>
      <w:bookmarkStart w:id="447" w:name="_Toc15878"/>
      <w:bookmarkStart w:id="448" w:name="_Toc17608"/>
      <w:bookmarkStart w:id="449" w:name="_Toc9769"/>
      <w:bookmarkStart w:id="450" w:name="_Toc18228"/>
      <w:bookmarkStart w:id="451" w:name="_Toc4850"/>
      <w:bookmarkStart w:id="452" w:name="_Toc4815"/>
      <w:bookmarkStart w:id="453" w:name="_Toc14137"/>
      <w:bookmarkStart w:id="454" w:name="_Toc21071"/>
      <w:bookmarkStart w:id="455" w:name="_Toc6385"/>
      <w:bookmarkStart w:id="456" w:name="_Toc5149"/>
      <w:bookmarkStart w:id="457" w:name="_Toc14280"/>
      <w:bookmarkStart w:id="458" w:name="_Toc25761"/>
      <w:bookmarkStart w:id="459" w:name="_Toc17029"/>
      <w:bookmarkStart w:id="460" w:name="_Toc13760"/>
      <w:bookmarkStart w:id="461" w:name="_Toc17678"/>
      <w:bookmarkStart w:id="462" w:name="_Toc272"/>
      <w:r>
        <w:rPr>
          <w:rFonts w:hint="eastAsia" w:ascii="仿宋" w:hAnsi="仿宋" w:eastAsia="仿宋" w:cs="仿宋"/>
          <w:b/>
          <w:bCs/>
          <w:color w:val="000000" w:themeColor="text1"/>
          <w14:textFill>
            <w14:solidFill>
              <w14:schemeClr w14:val="tx1"/>
            </w14:solidFill>
          </w14:textFill>
        </w:rPr>
        <w:t>1主要供货范围</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34250943">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1.1招标方只提供所需厂房、货物的基本砼基础，如不满足项目需求，由投标方负责进行建设。</w:t>
      </w:r>
    </w:p>
    <w:p w14:paraId="6ECCE44C">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1.2招标方只负责提供符合本技术标书中“采购货物概况”和“使用环境”章节所列明品质的电力、自来水、压缩空气、蒸汽、天然气（或煤气）管线至车间接口,投标方负责从车间接口到项目系统的对接。</w:t>
      </w:r>
    </w:p>
    <w:p w14:paraId="316F1D41">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1.3投标方应提供包括货物正常运行所必需的全套连线设备、材料等；如：联接法兰外端面（含联接螺栓）之内的、电气系统接口压线板（插座等）之内的设备、材料等；</w:t>
      </w:r>
    </w:p>
    <w:p w14:paraId="1F95F98D">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投标方应提供包括货物正常运行、使用所必需的过桥、护栏、防护网、盖板等辅助设施。标书中有要求的，按标书要求提供；标书中无具体要求而投标方认为必须具备的，在投标文件报价明细中，单独报价（但不计入税费等其它费用的计算基数）。</w:t>
      </w:r>
    </w:p>
    <w:p w14:paraId="0020B8AE">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投标方应提供包括为达到环保、消防和职业健康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14:paraId="63961F1D">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1.6投标方应提供包括为保证货物自身正常运行所必需的、适应使用地点条件的通风、冷却、降温系统等。</w:t>
      </w:r>
    </w:p>
    <w:p w14:paraId="1ED2E8B6">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投标方应提供包括为保证货物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14:paraId="54BB774B">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1.8投标方应提供货物维修所必需的专用工具，并在投标报价部分说明数量。</w:t>
      </w:r>
    </w:p>
    <w:p w14:paraId="3DEC4337">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463" w:name="_Toc30004"/>
      <w:bookmarkStart w:id="464" w:name="_Toc5521"/>
      <w:bookmarkStart w:id="465" w:name="_Toc31723"/>
      <w:bookmarkStart w:id="466" w:name="_Toc434"/>
      <w:bookmarkStart w:id="467" w:name="_Toc29389"/>
      <w:bookmarkStart w:id="468" w:name="_Toc19187"/>
      <w:bookmarkStart w:id="469" w:name="_Toc8330"/>
      <w:bookmarkStart w:id="470" w:name="_Toc30087"/>
      <w:bookmarkStart w:id="471" w:name="_Toc10211"/>
      <w:bookmarkStart w:id="472" w:name="_Toc31074"/>
      <w:bookmarkStart w:id="473" w:name="_Toc73112406"/>
      <w:bookmarkStart w:id="474" w:name="_Toc6916"/>
      <w:bookmarkStart w:id="475" w:name="_Toc31685"/>
      <w:bookmarkStart w:id="476" w:name="_Toc18018"/>
      <w:bookmarkStart w:id="477" w:name="_Toc10027"/>
      <w:bookmarkStart w:id="478" w:name="_Toc11531"/>
      <w:bookmarkStart w:id="479" w:name="_Toc20059"/>
      <w:bookmarkStart w:id="480" w:name="_Toc2744"/>
      <w:bookmarkStart w:id="481" w:name="_Toc25570"/>
      <w:bookmarkStart w:id="482" w:name="_Toc3726"/>
      <w:r>
        <w:rPr>
          <w:rFonts w:hint="eastAsia" w:ascii="仿宋" w:hAnsi="仿宋" w:eastAsia="仿宋" w:cs="仿宋"/>
          <w:b/>
          <w:bCs/>
          <w:color w:val="000000" w:themeColor="text1"/>
          <w14:textFill>
            <w14:solidFill>
              <w14:schemeClr w14:val="tx1"/>
            </w14:solidFill>
          </w14:textFill>
        </w:rPr>
        <w:t>2备品备件、易损件和专用耗材供货范围</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04D2B33B">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2.1招标方招标文件所指备品备件、易损件和专用耗材，是招标方为保证货物质保期之后正常运行一年所自备自用的备品备件、易损件和专用耗材。</w:t>
      </w:r>
    </w:p>
    <w:p w14:paraId="6F57D09D">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2.2投标方按照招标文件要求提供、或投标方认为招标方应当储备的备品备件、易损件和专用耗材，投标方应当在投标报价部分分别说明所列备品备件、易损件和专用耗材的使用时间。</w:t>
      </w:r>
    </w:p>
    <w:p w14:paraId="37B55CFF">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2.3投标方应提供易损件和专用耗材的制造图纸及其技术要求等资料。</w:t>
      </w:r>
    </w:p>
    <w:p w14:paraId="24BB38CD">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投标文件中，应当有备品备件、易损件和专用耗材的详细清单（内容包括名称、型号、规格、单位、数量、生产厂家、单价、总价等）。机床和机器人的主要参数、配置表、关键件和进口外购明细表、随机附明细表、技术文件明细表等。</w:t>
      </w:r>
    </w:p>
    <w:p w14:paraId="6B3E02F4">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2.5备品备件、易损件和专用耗材的费用应分类单列，并计入投标总报价之内。</w:t>
      </w:r>
    </w:p>
    <w:p w14:paraId="1C8E98A7">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483" w:name="_Toc30185"/>
      <w:bookmarkStart w:id="484" w:name="_Toc30460"/>
      <w:bookmarkStart w:id="485" w:name="_Toc14387"/>
      <w:bookmarkStart w:id="486" w:name="_Toc27176"/>
      <w:bookmarkStart w:id="487" w:name="_Toc8769"/>
      <w:bookmarkStart w:id="488" w:name="_Toc253"/>
      <w:bookmarkStart w:id="489" w:name="_Toc26974"/>
      <w:bookmarkStart w:id="490" w:name="_Toc29028"/>
      <w:bookmarkStart w:id="491" w:name="_Toc6474"/>
      <w:bookmarkStart w:id="492" w:name="_Toc29526"/>
      <w:bookmarkStart w:id="493" w:name="_Toc13573"/>
      <w:bookmarkStart w:id="494" w:name="_Toc73112407"/>
      <w:bookmarkStart w:id="495" w:name="_Toc8994"/>
      <w:bookmarkStart w:id="496" w:name="_Toc23668"/>
      <w:bookmarkStart w:id="497" w:name="_Toc30333"/>
      <w:bookmarkStart w:id="498" w:name="_Toc19082"/>
      <w:bookmarkStart w:id="499" w:name="_Toc29622"/>
      <w:bookmarkStart w:id="500" w:name="_Toc20956"/>
      <w:bookmarkStart w:id="501" w:name="_Toc11396"/>
      <w:bookmarkStart w:id="502" w:name="_Toc21438"/>
      <w:r>
        <w:rPr>
          <w:rFonts w:hint="eastAsia" w:ascii="仿宋" w:hAnsi="仿宋" w:eastAsia="仿宋" w:cs="仿宋"/>
          <w:b/>
          <w:bCs/>
          <w:color w:val="000000" w:themeColor="text1"/>
          <w14:textFill>
            <w14:solidFill>
              <w14:schemeClr w14:val="tx1"/>
            </w14:solidFill>
          </w14:textFill>
        </w:rPr>
        <w:t>3技术资料供货范围</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1B463A2A">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bookmarkStart w:id="503" w:name="_Toc6313"/>
      <w:bookmarkStart w:id="504" w:name="_Toc22358"/>
      <w:bookmarkStart w:id="505" w:name="_Toc21360"/>
      <w:bookmarkStart w:id="506" w:name="_Toc11837"/>
      <w:bookmarkStart w:id="507" w:name="_Toc11851"/>
      <w:bookmarkStart w:id="508" w:name="_Toc12288"/>
      <w:bookmarkStart w:id="509" w:name="_Toc4676"/>
      <w:bookmarkStart w:id="510" w:name="_Toc17660"/>
      <w:bookmarkStart w:id="511" w:name="_Toc16163"/>
      <w:bookmarkStart w:id="512" w:name="_Toc17613"/>
      <w:bookmarkStart w:id="513" w:name="_Toc16689"/>
      <w:bookmarkStart w:id="514" w:name="_Toc27960"/>
      <w:bookmarkStart w:id="515" w:name="_Toc19194"/>
      <w:bookmarkStart w:id="516" w:name="_Toc24898"/>
      <w:bookmarkStart w:id="517" w:name="_Toc4183"/>
      <w:bookmarkStart w:id="518" w:name="_Toc8309"/>
      <w:bookmarkStart w:id="519" w:name="_Toc603"/>
      <w:bookmarkStart w:id="520" w:name="_Toc18492"/>
      <w:bookmarkStart w:id="521" w:name="_Toc15671"/>
      <w:bookmarkStart w:id="522" w:name="_Toc1998"/>
      <w:bookmarkStart w:id="523" w:name="_Toc13201"/>
      <w:bookmarkStart w:id="524" w:name="_Toc17572"/>
      <w:bookmarkStart w:id="525" w:name="_Toc15620"/>
      <w:bookmarkStart w:id="526" w:name="_Toc1897"/>
      <w:bookmarkStart w:id="527" w:name="_Toc25983"/>
      <w:bookmarkStart w:id="528" w:name="_Toc5634"/>
      <w:bookmarkStart w:id="529" w:name="_Toc20754"/>
      <w:bookmarkStart w:id="530" w:name="_Toc4381"/>
      <w:bookmarkStart w:id="531" w:name="_Toc18118"/>
      <w:bookmarkStart w:id="532" w:name="_Toc3548"/>
      <w:bookmarkStart w:id="533" w:name="_Toc10692"/>
      <w:bookmarkStart w:id="534" w:name="_Toc4601"/>
      <w:bookmarkStart w:id="535" w:name="_Toc81"/>
      <w:bookmarkStart w:id="536" w:name="_Toc3580"/>
      <w:bookmarkStart w:id="537" w:name="_Toc30635"/>
      <w:bookmarkStart w:id="538" w:name="_Toc18839"/>
      <w:bookmarkStart w:id="539" w:name="_Toc133783972"/>
      <w:bookmarkStart w:id="540" w:name="_Toc73112408"/>
      <w:bookmarkStart w:id="541" w:name="_Toc23856"/>
      <w:bookmarkStart w:id="542" w:name="_Toc23025"/>
      <w:bookmarkStart w:id="543" w:name="_Toc29792"/>
      <w:bookmarkStart w:id="544" w:name="_Toc29107"/>
      <w:bookmarkStart w:id="545" w:name="_Toc27636"/>
      <w:r>
        <w:rPr>
          <w:rFonts w:hint="eastAsia" w:ascii="仿宋" w:hAnsi="仿宋" w:eastAsia="仿宋" w:cs="仿宋"/>
          <w:color w:val="000000" w:themeColor="text1"/>
          <w14:textFill>
            <w14:solidFill>
              <w14:schemeClr w14:val="tx1"/>
            </w14:solidFill>
          </w14:textFill>
        </w:rPr>
        <w:t xml:space="preserve">3.1投标方须负责在被通知中标之日起 </w:t>
      </w:r>
      <w:r>
        <w:rPr>
          <w:rFonts w:hint="eastAsia" w:ascii="仿宋" w:hAnsi="仿宋" w:eastAsia="仿宋" w:cs="仿宋"/>
          <w:u w:val="single"/>
          <w:shd w:val="pct10" w:color="auto" w:fill="FFFFFF"/>
        </w:rPr>
        <w:t xml:space="preserve">  30   </w:t>
      </w:r>
      <w:r>
        <w:rPr>
          <w:rFonts w:hint="eastAsia" w:ascii="仿宋" w:hAnsi="仿宋" w:eastAsia="仿宋" w:cs="仿宋"/>
          <w:color w:val="000000" w:themeColor="text1"/>
          <w14:textFill>
            <w14:solidFill>
              <w14:schemeClr w14:val="tx1"/>
            </w14:solidFill>
          </w14:textFill>
        </w:rPr>
        <w:t>个日历日内，提供货物基础及相关的设计、制作所需的纸质及电子版资料；电子版文件应当能够使用常用</w:t>
      </w:r>
      <w:r>
        <w:rPr>
          <w:rFonts w:ascii="宋体" w:hAnsi="宋体"/>
          <w:u w:val="single"/>
          <w:shd w:val="pct10" w:color="auto" w:fill="FFFFFF"/>
        </w:rPr>
        <w:t xml:space="preserve">  </w:t>
      </w:r>
      <w:r>
        <w:rPr>
          <w:rFonts w:hint="eastAsia" w:ascii="仿宋" w:hAnsi="仿宋" w:eastAsia="仿宋" w:cs="仿宋"/>
          <w:color w:val="000000" w:themeColor="text1"/>
          <w14:textFill>
            <w14:solidFill>
              <w14:schemeClr w14:val="tx1"/>
            </w14:solidFill>
          </w14:textFill>
        </w:rPr>
        <w:t>版本软件可以阅读甚至使用，进口货物、设备应有中外文对照。</w:t>
      </w:r>
    </w:p>
    <w:p w14:paraId="5F64A469">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3.2投标方应同时提出对厂房、基础、公用设施、消防、环保、职业危害等超出招标文件、投标文件、答疑文件、技术交流文件、技术协议书和合同等规定的、有特殊需要的解释、说明和要求。</w:t>
      </w:r>
    </w:p>
    <w:p w14:paraId="61C91B60">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3.3投标方须负责在预验收前，提供货物各部分的功能描述文件、图片、影像等资料（进口、设备应有中外文对照）。</w:t>
      </w:r>
    </w:p>
    <w:p w14:paraId="6686A32F">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3.4投标方须负责在终验收前，提供招标方为保证货物正常运行所需后续自制的工装、吊（挂）具明细及其图纸、具体技术要求等资料（如果供货范围包含该部分实物）。</w:t>
      </w:r>
    </w:p>
    <w:p w14:paraId="039A9FCA">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3.5投标方须负责在交货之前，提供确定的而且质保期之后招标方维修所需要的、可以自行采购的外购件、外协件、电气元件及主要原材料的供货厂家明细表。</w:t>
      </w:r>
    </w:p>
    <w:p w14:paraId="34A53369">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3.6投标方须负责在终验收前，提供包括货物的备品备件、易损件和专用耗材规定的图纸及技术参数、技术要求等资料。</w:t>
      </w:r>
    </w:p>
    <w:p w14:paraId="5BB3A573">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3.7投标方须负责在终验收前，提供关于采购货物的操作维护手册、保养维修手册、安全注意事项等的使用说明书、仪器仪表检定和使用维修说明书、合格证、产品样本等技术资料（含图片和影像等资料）；对于进口设备，应有中外文资料说明。</w:t>
      </w:r>
    </w:p>
    <w:p w14:paraId="48D0403F">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3.8外购部件提供正规装配图及零件明细;标准件提供明细（包括型号、规格、部位、数量、制造厂家）并与装配图一一对应总装配图和主要部件的装配图，全部自制或非标设计零件正规图纸，提供机床所有零件的明细表，零件号与装配图应一一对应，且能方便地查找零件在装配图上的位置；提供关键件、易损件零件图。</w:t>
      </w:r>
    </w:p>
    <w:p w14:paraId="2A9FC66E">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3.9提供关键件，易损件明细;提供所有电气元件，液压元件，气动元件，润滑元件明细表（包括型号、规格、部位、数量、制造厂家）；</w:t>
      </w:r>
    </w:p>
    <w:p w14:paraId="4669B2E7">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3.8 主要外购装置、外购件、系统的使用指导说明书。</w:t>
      </w:r>
    </w:p>
    <w:p w14:paraId="44E0E081">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3.9主要零部件、元器件，由投标方负责检验，并提供检验报告。</w:t>
      </w:r>
    </w:p>
    <w:p w14:paraId="52090D1C">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3.10 应提供设备出厂所必须的精度检验证书、性能测试记录和报告。</w:t>
      </w:r>
    </w:p>
    <w:p w14:paraId="675A6F00">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3.11 提供设备消耗水、电、气的详细资料。</w:t>
      </w:r>
    </w:p>
    <w:p w14:paraId="3A9BD3E2">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3.12 保证设备正常运行、维护和保养必需的其他参数和资料。</w:t>
      </w:r>
    </w:p>
    <w:p w14:paraId="69E62FC8">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3.13 投标方须负责在合同签订后</w:t>
      </w:r>
      <w:r>
        <w:rPr>
          <w:rFonts w:hint="eastAsia" w:ascii="仿宋" w:hAnsi="仿宋" w:eastAsia="仿宋" w:cs="仿宋"/>
          <w:u w:val="single"/>
          <w:shd w:val="pct10" w:color="auto" w:fill="FFFFFF"/>
        </w:rPr>
        <w:t xml:space="preserve">  30  </w:t>
      </w:r>
      <w:r>
        <w:rPr>
          <w:rFonts w:hint="eastAsia" w:ascii="仿宋" w:hAnsi="仿宋" w:eastAsia="仿宋" w:cs="仿宋"/>
          <w:color w:val="000000" w:themeColor="text1"/>
          <w14:textFill>
            <w14:solidFill>
              <w14:schemeClr w14:val="tx1"/>
            </w14:solidFill>
          </w14:textFill>
        </w:rPr>
        <w:t>日内，提供设备基础及相关的安装、设计资料，并提供电子版资料文件，文件格式为：.doc,.dwg或.dxf；（进口货物、设备应有中外文对照）；并同时提出对厂房、基础、公用设施、消防、环保、职业危害等不超出招标文件、投标文件、答疑文件、技术交流文件、技术协议书和合同等规定的、有特殊要求的解释、说明和要求。</w:t>
      </w:r>
    </w:p>
    <w:p w14:paraId="315EB74B">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3.14投标方须负责在设备到达招标方工厂时，与设备一并提供包括设备的设计总图、装配图（包括零部件件号、名称、型号规格、数量等）、设备全线布置图、电气资料（包括接线图、原理图、布线图、梯形图等）、液压（气动）原理图和系统图、安装基础图、维修图等有关的资料、图片、影像等资料(对于进口设备，应有中外文资料说明)，设备外形三维图纸和二维图纸。</w:t>
      </w:r>
    </w:p>
    <w:p w14:paraId="5A049CA5">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3.15 本“技术资料范围”所列三维图纸能够用PROE或SOLIDWORKS等常用软件阅览和编辑，二维图纸能够用AUTOCAD、CAXA等常用软件阅览和编辑。</w:t>
      </w:r>
    </w:p>
    <w:p w14:paraId="73AB2FD1">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3.16本“技术资料范围”所列的技术资料、图片、影像等，投标方应各提供5套，其中2套为电子版光盘；每份技术文件应装有目录清单。</w:t>
      </w:r>
    </w:p>
    <w:p w14:paraId="6CC8AAD6">
      <w:pPr>
        <w:pStyle w:val="16"/>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3.17本“技术资料范围”所列要求，如招标方认为投标方提供的资料不能满足要求时，有权要求投标方补充或增加。</w:t>
      </w:r>
    </w:p>
    <w:p w14:paraId="27BBD3EB">
      <w:pPr>
        <w:pStyle w:val="16"/>
        <w:snapToGrid w:val="0"/>
        <w:spacing w:line="360" w:lineRule="auto"/>
        <w:ind w:left="6" w:firstLine="474" w:firstLineChars="0"/>
        <w:jc w:val="center"/>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第二节供货方式</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1B9125BD">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546" w:name="_Toc28759"/>
      <w:bookmarkStart w:id="547" w:name="_Toc28360"/>
      <w:bookmarkStart w:id="548" w:name="_Toc20263"/>
      <w:bookmarkStart w:id="549" w:name="_Toc10286"/>
      <w:bookmarkStart w:id="550" w:name="_Toc18282"/>
      <w:bookmarkStart w:id="551" w:name="_Toc14135"/>
      <w:bookmarkStart w:id="552" w:name="_Toc73112409"/>
      <w:bookmarkStart w:id="553" w:name="_Toc11533"/>
      <w:bookmarkStart w:id="554" w:name="_Toc27005"/>
      <w:bookmarkStart w:id="555" w:name="_Toc4344"/>
      <w:bookmarkStart w:id="556" w:name="_Toc28222"/>
      <w:bookmarkStart w:id="557" w:name="_Toc1116"/>
      <w:bookmarkStart w:id="558" w:name="_Toc22679"/>
      <w:bookmarkStart w:id="559" w:name="_Toc24179"/>
      <w:bookmarkStart w:id="560" w:name="_Toc19237"/>
      <w:bookmarkStart w:id="561" w:name="_Toc28962"/>
      <w:bookmarkStart w:id="562" w:name="_Toc3032"/>
      <w:bookmarkStart w:id="563" w:name="_Toc32491"/>
      <w:bookmarkStart w:id="564" w:name="_Toc28534"/>
      <w:bookmarkStart w:id="565" w:name="_Toc1474"/>
      <w:r>
        <w:rPr>
          <w:rFonts w:hint="eastAsia" w:ascii="仿宋" w:hAnsi="仿宋" w:eastAsia="仿宋" w:cs="仿宋"/>
          <w:b/>
          <w:bCs/>
          <w:color w:val="000000" w:themeColor="text1"/>
          <w14:textFill>
            <w14:solidFill>
              <w14:schemeClr w14:val="tx1"/>
            </w14:solidFill>
          </w14:textFill>
        </w:rPr>
        <w:t>1供货地点</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04FCCD10">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本项目建设工地。</w:t>
      </w:r>
    </w:p>
    <w:p w14:paraId="6C8C41B6">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566" w:name="_Toc20257"/>
      <w:bookmarkStart w:id="567" w:name="_Toc73112410"/>
      <w:bookmarkStart w:id="568" w:name="_Toc31657"/>
      <w:bookmarkStart w:id="569" w:name="_Toc5862"/>
      <w:bookmarkStart w:id="570" w:name="_Toc2280"/>
      <w:bookmarkStart w:id="571" w:name="_Toc21521"/>
      <w:bookmarkStart w:id="572" w:name="_Toc4215"/>
      <w:bookmarkStart w:id="573" w:name="_Toc27724"/>
      <w:bookmarkStart w:id="574" w:name="_Toc27558"/>
      <w:bookmarkStart w:id="575" w:name="_Toc26178"/>
      <w:bookmarkStart w:id="576" w:name="_Toc8043"/>
      <w:bookmarkStart w:id="577" w:name="_Toc9856"/>
      <w:bookmarkStart w:id="578" w:name="_Toc531"/>
      <w:bookmarkStart w:id="579" w:name="_Toc22044"/>
      <w:bookmarkStart w:id="580" w:name="_Toc11086"/>
      <w:bookmarkStart w:id="581" w:name="_Toc11152"/>
      <w:bookmarkStart w:id="582" w:name="_Toc30858"/>
      <w:bookmarkStart w:id="583" w:name="_Toc6963"/>
      <w:bookmarkStart w:id="584" w:name="_Toc26611"/>
      <w:bookmarkStart w:id="585" w:name="_Toc6707"/>
      <w:r>
        <w:rPr>
          <w:rFonts w:hint="eastAsia" w:ascii="仿宋" w:hAnsi="仿宋" w:eastAsia="仿宋" w:cs="仿宋"/>
          <w:b/>
          <w:bCs/>
          <w:color w:val="000000" w:themeColor="text1"/>
          <w14:textFill>
            <w14:solidFill>
              <w14:schemeClr w14:val="tx1"/>
            </w14:solidFill>
          </w14:textFill>
        </w:rPr>
        <w:t>2供货时间</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4E5CB615">
      <w:pPr>
        <w:snapToGrid w:val="0"/>
        <w:spacing w:line="360" w:lineRule="auto"/>
        <w:ind w:firstLine="420" w:firstLineChars="200"/>
        <w:jc w:val="left"/>
        <w:rPr>
          <w:rFonts w:ascii="仿宋" w:hAnsi="仿宋" w:eastAsia="仿宋" w:cs="仿宋"/>
          <w:strike/>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2.1投标方应自</w:t>
      </w:r>
      <w:r>
        <w:rPr>
          <w:rFonts w:hint="eastAsia" w:ascii="仿宋" w:hAnsi="仿宋" w:eastAsia="仿宋" w:cs="仿宋"/>
          <w:color w:val="000000" w:themeColor="text1"/>
          <w:lang w:val="en-US" w:eastAsia="zh-CN"/>
          <w14:textFill>
            <w14:solidFill>
              <w14:schemeClr w14:val="tx1"/>
            </w14:solidFill>
          </w14:textFill>
        </w:rPr>
        <w:t>签订合同之日起</w:t>
      </w:r>
      <w:r>
        <w:rPr>
          <w:rFonts w:hint="eastAsia" w:ascii="仿宋" w:hAnsi="仿宋" w:eastAsia="仿宋" w:cs="仿宋"/>
          <w:color w:val="000000" w:themeColor="text1"/>
          <w:u w:val="single"/>
          <w:shd w:val="pct10" w:color="auto" w:fill="FFFFFF"/>
          <w:lang w:val="en-US" w:eastAsia="zh-CN"/>
          <w14:textFill>
            <w14:solidFill>
              <w14:schemeClr w14:val="tx1"/>
            </w14:solidFill>
          </w14:textFill>
        </w:rPr>
        <w:t>20</w:t>
      </w:r>
      <w:r>
        <w:rPr>
          <w:rFonts w:hint="eastAsia" w:ascii="仿宋" w:hAnsi="仿宋" w:eastAsia="仿宋" w:cs="仿宋"/>
          <w:color w:val="000000" w:themeColor="text1"/>
          <w14:textFill>
            <w14:solidFill>
              <w14:schemeClr w14:val="tx1"/>
            </w14:solidFill>
          </w14:textFill>
        </w:rPr>
        <w:t>日历日之内交货至供货地点。</w:t>
      </w:r>
    </w:p>
    <w:p w14:paraId="73384980">
      <w:pPr>
        <w:snapToGrid w:val="0"/>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2.2连续</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u w:val="single"/>
          <w:shd w:val="pct10" w:color="auto" w:fill="FFFFFF"/>
          <w:lang w:val="en-US" w:eastAsia="zh-CN"/>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个日历日之内安装调试完毕；</w:t>
      </w:r>
    </w:p>
    <w:p w14:paraId="75F09C93">
      <w:pPr>
        <w:snapToGrid w:val="0"/>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2.3连续</w:t>
      </w:r>
      <w:r>
        <w:rPr>
          <w:rFonts w:hint="eastAsia" w:ascii="仿宋" w:hAnsi="仿宋" w:eastAsia="仿宋" w:cs="仿宋"/>
          <w:color w:val="000000" w:themeColor="text1"/>
          <w:u w:val="single"/>
          <w:shd w:val="pct10" w:color="auto" w:fill="FFFFFF"/>
          <w14:textFill>
            <w14:solidFill>
              <w14:schemeClr w14:val="tx1"/>
            </w14:solidFill>
          </w14:textFill>
        </w:rPr>
        <w:t xml:space="preserve"> </w:t>
      </w:r>
      <w:r>
        <w:rPr>
          <w:rFonts w:hint="eastAsia" w:ascii="仿宋" w:hAnsi="仿宋" w:eastAsia="仿宋" w:cs="仿宋"/>
          <w:color w:val="000000" w:themeColor="text1"/>
          <w:u w:val="single"/>
          <w:shd w:val="pct10" w:color="auto" w:fill="FFFFFF"/>
          <w:lang w:val="en-US" w:eastAsia="zh-CN"/>
          <w14:textFill>
            <w14:solidFill>
              <w14:schemeClr w14:val="tx1"/>
            </w14:solidFill>
          </w14:textFill>
        </w:rPr>
        <w:t>30</w:t>
      </w:r>
      <w:r>
        <w:rPr>
          <w:rFonts w:hint="eastAsia" w:ascii="仿宋" w:hAnsi="仿宋" w:eastAsia="仿宋" w:cs="仿宋"/>
          <w:color w:val="000000" w:themeColor="text1"/>
          <w14:textFill>
            <w14:solidFill>
              <w14:schemeClr w14:val="tx1"/>
            </w14:solidFill>
          </w14:textFill>
        </w:rPr>
        <w:t>个日历日之内完成终验收。</w:t>
      </w:r>
    </w:p>
    <w:p w14:paraId="6CACDA79">
      <w:pPr>
        <w:snapToGrid w:val="0"/>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2.4必要时，投标方应当提供详细的工期计划。</w:t>
      </w:r>
    </w:p>
    <w:p w14:paraId="77759C2C">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586" w:name="_Toc18845"/>
      <w:bookmarkStart w:id="587" w:name="_Toc18153"/>
      <w:bookmarkStart w:id="588" w:name="_Toc8419"/>
      <w:bookmarkStart w:id="589" w:name="_Toc73112411"/>
      <w:bookmarkStart w:id="590" w:name="_Toc5288"/>
      <w:bookmarkStart w:id="591" w:name="_Toc22617"/>
      <w:bookmarkStart w:id="592" w:name="_Toc9507"/>
      <w:bookmarkStart w:id="593" w:name="_Toc22968"/>
      <w:bookmarkStart w:id="594" w:name="_Toc22394"/>
      <w:bookmarkStart w:id="595" w:name="_Toc16960"/>
      <w:bookmarkStart w:id="596" w:name="_Toc29786"/>
      <w:bookmarkStart w:id="597" w:name="_Toc30983"/>
      <w:bookmarkStart w:id="598" w:name="_Toc17489"/>
      <w:bookmarkStart w:id="599" w:name="_Toc24587"/>
      <w:bookmarkStart w:id="600" w:name="_Toc8193"/>
      <w:bookmarkStart w:id="601" w:name="_Toc11749"/>
      <w:bookmarkStart w:id="602" w:name="_Toc23122"/>
      <w:bookmarkStart w:id="603" w:name="_Toc17351"/>
      <w:bookmarkStart w:id="604" w:name="_Toc4431"/>
      <w:bookmarkStart w:id="605" w:name="_Toc31485"/>
      <w:r>
        <w:rPr>
          <w:rFonts w:hint="eastAsia" w:ascii="仿宋" w:hAnsi="仿宋" w:eastAsia="仿宋" w:cs="仿宋"/>
          <w:b/>
          <w:bCs/>
          <w:color w:val="000000" w:themeColor="text1"/>
          <w14:textFill>
            <w14:solidFill>
              <w14:schemeClr w14:val="tx1"/>
            </w14:solidFill>
          </w14:textFill>
        </w:rPr>
        <w:t>3质保期</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14:paraId="320D4DC4">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3.1投标方所提供货物涉及的全部供货范围内的设备、材料、零配件和工器具等，除合同特别约定外，其质保期均自终验收签字生效之日起</w:t>
      </w:r>
      <w:r>
        <w:rPr>
          <w:rFonts w:hint="eastAsia" w:ascii="仿宋" w:hAnsi="仿宋" w:eastAsia="仿宋" w:cs="仿宋"/>
          <w:color w:val="000000" w:themeColor="text1"/>
          <w:u w:val="single"/>
          <w:shd w:val="pct10" w:color="auto" w:fill="FFFFFF"/>
          <w14:textFill>
            <w14:solidFill>
              <w14:schemeClr w14:val="tx1"/>
            </w14:solidFill>
          </w14:textFill>
        </w:rPr>
        <w:t>12</w:t>
      </w:r>
      <w:r>
        <w:rPr>
          <w:rFonts w:hint="eastAsia" w:ascii="仿宋" w:hAnsi="仿宋" w:eastAsia="仿宋" w:cs="仿宋"/>
          <w:color w:val="000000" w:themeColor="text1"/>
          <w14:textFill>
            <w14:solidFill>
              <w14:schemeClr w14:val="tx1"/>
            </w14:solidFill>
          </w14:textFill>
        </w:rPr>
        <w:t>个月。数控系统、伺服单元、电源模块、各轴电机及显示器等部分</w:t>
      </w:r>
      <w:r>
        <w:rPr>
          <w:rFonts w:hint="eastAsia" w:ascii="仿宋" w:hAnsi="仿宋" w:eastAsia="仿宋" w:cs="仿宋"/>
          <w:color w:val="000000" w:themeColor="text1"/>
          <w:u w:val="single"/>
          <w:shd w:val="pct10" w:color="auto" w:fill="FFFFFF"/>
          <w14:textFill>
            <w14:solidFill>
              <w14:schemeClr w14:val="tx1"/>
            </w14:solidFill>
          </w14:textFill>
        </w:rPr>
        <w:t>24</w:t>
      </w:r>
      <w:r>
        <w:rPr>
          <w:rFonts w:hint="eastAsia" w:ascii="仿宋" w:hAnsi="仿宋" w:eastAsia="仿宋" w:cs="仿宋"/>
          <w:color w:val="000000" w:themeColor="text1"/>
          <w14:textFill>
            <w14:solidFill>
              <w14:schemeClr w14:val="tx1"/>
            </w14:solidFill>
          </w14:textFill>
        </w:rPr>
        <w:t>月以内。</w:t>
      </w:r>
    </w:p>
    <w:p w14:paraId="6108FCE9">
      <w:pPr>
        <w:snapToGrid w:val="0"/>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3.2质保期之内，如果货物出现关键设备、总成、零部件或者多处一般设备、总成、零部件的更换或维修行为，则质保期自更换或维修行为结束、货物能够正常运行使用之日起重新计算。</w:t>
      </w:r>
    </w:p>
    <w:p w14:paraId="43DD3DCF">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606" w:name="_Toc17320"/>
      <w:bookmarkStart w:id="607" w:name="_Toc73112412"/>
      <w:bookmarkStart w:id="608" w:name="_Toc16664"/>
      <w:bookmarkStart w:id="609" w:name="_Toc16381"/>
      <w:bookmarkStart w:id="610" w:name="_Toc5126"/>
      <w:bookmarkStart w:id="611" w:name="_Toc20248"/>
      <w:bookmarkStart w:id="612" w:name="_Toc27080"/>
      <w:bookmarkStart w:id="613" w:name="_Toc21555"/>
      <w:bookmarkStart w:id="614" w:name="_Toc27377"/>
      <w:bookmarkStart w:id="615" w:name="_Toc426"/>
      <w:bookmarkStart w:id="616" w:name="_Toc21924"/>
      <w:bookmarkStart w:id="617" w:name="_Toc20400"/>
      <w:bookmarkStart w:id="618" w:name="_Toc10272"/>
      <w:bookmarkStart w:id="619" w:name="_Toc19011"/>
      <w:bookmarkStart w:id="620" w:name="_Toc14622"/>
      <w:bookmarkStart w:id="621" w:name="_Toc27729"/>
      <w:bookmarkStart w:id="622" w:name="_Toc28907"/>
      <w:bookmarkStart w:id="623" w:name="_Toc29090"/>
      <w:bookmarkStart w:id="624" w:name="_Toc26040"/>
      <w:bookmarkStart w:id="625" w:name="_Toc12791"/>
      <w:r>
        <w:rPr>
          <w:rFonts w:hint="eastAsia" w:ascii="仿宋" w:hAnsi="仿宋" w:eastAsia="仿宋" w:cs="仿宋"/>
          <w:b/>
          <w:bCs/>
          <w:color w:val="000000" w:themeColor="text1"/>
          <w14:textFill>
            <w14:solidFill>
              <w14:schemeClr w14:val="tx1"/>
            </w14:solidFill>
          </w14:textFill>
        </w:rPr>
        <w:t>4包装</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7E2A49A6">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4.1投标方所提供货物（或设备）的包装，应遵照国家标准和有关包装、包皮的技术条件，或按照最好的商业惯例进行包装。</w:t>
      </w:r>
    </w:p>
    <w:p w14:paraId="4093BDF2">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4.2包装应能满足所需要采取的运输方式（船运、汽运或铁路运输）、多次吊装卸装、卸货以及长期露天堆放要求，应能防止雨淋、受潮、生锈、腐蚀、受振、受磁以及机械和化学因素等引起的损坏。</w:t>
      </w:r>
    </w:p>
    <w:p w14:paraId="5018EE33">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4.3投标方所提供货物（或设备）的包装，应能防止其一般性被窃或受外力破坏；一般不得采用有大缝隙的板条包装。</w:t>
      </w:r>
    </w:p>
    <w:p w14:paraId="194CEAF3">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4.4投标方应对包装件做必要的加固和固定等防护措施，以防止运输可能造成的损坏。</w:t>
      </w:r>
    </w:p>
    <w:p w14:paraId="5D11D7D1">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4.5每个包装件应有装箱单，并至少标明名称、型号规格、数量、净重和毛重、投标方（或供货商）名称和制造日期等相关内容。</w:t>
      </w:r>
    </w:p>
    <w:p w14:paraId="7A574DD8">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4.6每个包装箱应有明显标志，并具有中文书写的合同号、装运标志、发货和到货地点名称、发货人和收货人名称、货物名称和项目号、箱号和外型尺寸等内容。</w:t>
      </w:r>
    </w:p>
    <w:p w14:paraId="5550CE73">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4.7投标方还应按照不同的装运要求在包装箱上标明“小心轻放”、“箭头向上”、“防潮”、“防磁”、“不准平放”等标志，以及其它适用的国标通用标志。</w:t>
      </w:r>
    </w:p>
    <w:p w14:paraId="4D2B319F">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4.8包装箱应连续编号，不应出现重复编号。</w:t>
      </w:r>
    </w:p>
    <w:p w14:paraId="16CFF04F">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4.9在不受到外界破坏情况下，包装应保证自交货日起一年内货物（或设备）完好无损。</w:t>
      </w:r>
    </w:p>
    <w:p w14:paraId="0F59DC60">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626" w:name="_Toc26302"/>
      <w:bookmarkStart w:id="627" w:name="_Toc7889"/>
      <w:bookmarkStart w:id="628" w:name="_Toc22792"/>
      <w:bookmarkStart w:id="629" w:name="_Toc73112413"/>
      <w:bookmarkStart w:id="630" w:name="_Toc31538"/>
      <w:bookmarkStart w:id="631" w:name="_Toc17881"/>
      <w:bookmarkStart w:id="632" w:name="_Toc7046"/>
      <w:bookmarkStart w:id="633" w:name="_Toc21886"/>
      <w:bookmarkStart w:id="634" w:name="_Toc32266"/>
      <w:bookmarkStart w:id="635" w:name="_Toc20536"/>
      <w:bookmarkStart w:id="636" w:name="_Toc21308"/>
      <w:bookmarkStart w:id="637" w:name="_Toc5373"/>
      <w:bookmarkStart w:id="638" w:name="_Toc22992"/>
      <w:bookmarkStart w:id="639" w:name="_Toc22949"/>
      <w:bookmarkStart w:id="640" w:name="_Toc17990"/>
      <w:bookmarkStart w:id="641" w:name="_Toc8"/>
      <w:bookmarkStart w:id="642" w:name="_Toc25305"/>
      <w:bookmarkStart w:id="643" w:name="_Toc1857"/>
      <w:bookmarkStart w:id="644" w:name="_Toc23221"/>
      <w:bookmarkStart w:id="645" w:name="_Toc4346"/>
      <w:r>
        <w:rPr>
          <w:rFonts w:hint="eastAsia" w:ascii="仿宋" w:hAnsi="仿宋" w:eastAsia="仿宋" w:cs="仿宋"/>
          <w:b/>
          <w:bCs/>
          <w:color w:val="000000" w:themeColor="text1"/>
          <w14:textFill>
            <w14:solidFill>
              <w14:schemeClr w14:val="tx1"/>
            </w14:solidFill>
          </w14:textFill>
        </w:rPr>
        <w:t>5运输</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5E61CB20">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5.1投标方应负责将货物（或设备）运到目的地，并必须做到货物（或设备）在任何运输过程中不受损坏和遗失</w:t>
      </w:r>
    </w:p>
    <w:p w14:paraId="3D25438C">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5.2同批货物（或设备）应统一包装、编号运输。</w:t>
      </w:r>
    </w:p>
    <w:p w14:paraId="14EFE14C">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5.3一般情况下，经由铁路、公路运输的包装件尺寸和重量不应超过国家所规定的尺寸限制。特殊情况应予以说明。</w:t>
      </w:r>
    </w:p>
    <w:p w14:paraId="1E07B961">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5.4在每批货物（或设备）发出后，投标方应立即通知招标方；通知中应指明：合同号、货运单号、件数、重量和货物（或设备）发出日期等相关内容。</w:t>
      </w:r>
    </w:p>
    <w:p w14:paraId="1DAD434E">
      <w:pPr>
        <w:pStyle w:val="16"/>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5.5货物（或设备）运抵招标方现场后，投标方应负责货物（或设备）的卸货、搬运、保管等事宜；或按照合同约定。</w:t>
      </w:r>
      <w:bookmarkStart w:id="646" w:name="_Toc133783973"/>
    </w:p>
    <w:p w14:paraId="2EB1212B">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3023C8ED">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647" w:name="_Toc12021"/>
      <w:bookmarkStart w:id="648" w:name="_Toc14023"/>
      <w:bookmarkStart w:id="649" w:name="_Toc16036"/>
      <w:bookmarkStart w:id="650" w:name="_Toc7501"/>
      <w:bookmarkStart w:id="651" w:name="_Toc26651"/>
      <w:bookmarkStart w:id="652" w:name="_Toc29063"/>
      <w:bookmarkStart w:id="653" w:name="_Toc1740"/>
      <w:bookmarkStart w:id="654" w:name="_Toc24415"/>
      <w:bookmarkStart w:id="655" w:name="_Toc9059"/>
      <w:bookmarkStart w:id="656" w:name="_Toc31301"/>
      <w:bookmarkStart w:id="657" w:name="_Toc27169"/>
      <w:bookmarkStart w:id="658" w:name="_Toc14171"/>
      <w:bookmarkStart w:id="659" w:name="_Toc18423"/>
      <w:bookmarkStart w:id="660" w:name="_Toc12994"/>
      <w:bookmarkStart w:id="661" w:name="_Toc10676"/>
      <w:bookmarkStart w:id="662" w:name="_Toc14916"/>
      <w:bookmarkStart w:id="663" w:name="_Toc24978"/>
      <w:bookmarkStart w:id="664" w:name="_Toc14229"/>
      <w:bookmarkStart w:id="665" w:name="_Toc26671"/>
      <w:bookmarkStart w:id="666" w:name="_Toc19986"/>
      <w:bookmarkStart w:id="667" w:name="_Toc23255"/>
      <w:bookmarkStart w:id="668" w:name="_Toc24397"/>
      <w:bookmarkStart w:id="669" w:name="_Toc19133"/>
      <w:bookmarkStart w:id="670" w:name="_Toc8515"/>
      <w:bookmarkStart w:id="671" w:name="_Toc27085"/>
      <w:bookmarkStart w:id="672" w:name="_Toc10894"/>
      <w:bookmarkStart w:id="673" w:name="_Toc3739"/>
      <w:bookmarkStart w:id="674" w:name="_Toc28164"/>
      <w:bookmarkStart w:id="675" w:name="_Toc14414"/>
      <w:bookmarkStart w:id="676" w:name="_Toc10275"/>
      <w:bookmarkStart w:id="677" w:name="_Toc28211"/>
      <w:bookmarkStart w:id="678" w:name="_Toc25780"/>
      <w:bookmarkStart w:id="679" w:name="_Toc2668"/>
      <w:bookmarkStart w:id="680" w:name="_Toc11027"/>
      <w:bookmarkStart w:id="681" w:name="_Toc25044"/>
      <w:bookmarkStart w:id="682" w:name="_Toc2250"/>
      <w:bookmarkStart w:id="683" w:name="_Toc13927"/>
      <w:bookmarkStart w:id="684" w:name="_Toc15153"/>
      <w:bookmarkStart w:id="685" w:name="_Toc22680"/>
      <w:bookmarkStart w:id="686" w:name="_Toc7672"/>
      <w:bookmarkStart w:id="687" w:name="_Toc73112414"/>
      <w:bookmarkStart w:id="688" w:name="_Toc14862"/>
      <w:bookmarkStart w:id="689" w:name="_Toc12478"/>
      <w:bookmarkStart w:id="690" w:name="_Toc25292"/>
      <w:bookmarkStart w:id="691" w:name="_Toc20251"/>
      <w:bookmarkStart w:id="692" w:name="_Toc32280"/>
      <w:r>
        <w:rPr>
          <w:rFonts w:hint="eastAsia" w:ascii="仿宋" w:hAnsi="仿宋" w:eastAsia="仿宋" w:cs="仿宋"/>
          <w:b/>
          <w:bCs/>
          <w:color w:val="000000" w:themeColor="text1"/>
          <w14:textFill>
            <w14:solidFill>
              <w14:schemeClr w14:val="tx1"/>
            </w14:solidFill>
          </w14:textFill>
        </w:rPr>
        <w:t>第四章售中售后服务</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69BB3884">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693" w:name="_Toc14199"/>
      <w:bookmarkStart w:id="694" w:name="_Toc7723"/>
      <w:bookmarkStart w:id="695" w:name="_Toc18522"/>
      <w:bookmarkStart w:id="696" w:name="_Toc19735"/>
      <w:bookmarkStart w:id="697" w:name="_Toc23493"/>
      <w:bookmarkStart w:id="698" w:name="_Toc13786"/>
      <w:bookmarkStart w:id="699" w:name="_Toc17645"/>
      <w:bookmarkStart w:id="700" w:name="_Toc25505"/>
      <w:bookmarkStart w:id="701" w:name="_Toc30399"/>
      <w:bookmarkStart w:id="702" w:name="_Toc3697"/>
      <w:bookmarkStart w:id="703" w:name="_Toc9079"/>
      <w:bookmarkStart w:id="704" w:name="_Toc8465"/>
      <w:bookmarkStart w:id="705" w:name="_Toc29262"/>
      <w:bookmarkStart w:id="706" w:name="_Toc4180"/>
      <w:bookmarkStart w:id="707" w:name="_Toc17832"/>
      <w:bookmarkStart w:id="708" w:name="_Toc23892"/>
      <w:bookmarkStart w:id="709" w:name="_Toc344"/>
      <w:bookmarkStart w:id="710" w:name="_Toc20772"/>
      <w:bookmarkStart w:id="711" w:name="_Toc3722"/>
      <w:bookmarkStart w:id="712" w:name="_Toc10542"/>
      <w:bookmarkStart w:id="713" w:name="_Toc20514"/>
      <w:bookmarkStart w:id="714" w:name="_Toc8910"/>
      <w:bookmarkStart w:id="715" w:name="_Toc10791"/>
      <w:bookmarkStart w:id="716" w:name="_Toc29321"/>
      <w:bookmarkStart w:id="717" w:name="_Toc24344"/>
      <w:bookmarkStart w:id="718" w:name="_Toc2661"/>
      <w:bookmarkStart w:id="719" w:name="_Toc12793"/>
      <w:bookmarkStart w:id="720" w:name="_Toc4952"/>
      <w:bookmarkStart w:id="721" w:name="_Toc7036"/>
      <w:bookmarkStart w:id="722" w:name="_Toc10787"/>
      <w:bookmarkStart w:id="723" w:name="_Toc217"/>
      <w:bookmarkStart w:id="724" w:name="_Toc9919"/>
      <w:bookmarkStart w:id="725" w:name="_Toc13551"/>
      <w:bookmarkStart w:id="726" w:name="_Toc28487"/>
      <w:bookmarkStart w:id="727" w:name="_Toc2564"/>
      <w:bookmarkStart w:id="728" w:name="_Toc16066"/>
      <w:bookmarkStart w:id="729" w:name="_Toc24654"/>
      <w:bookmarkStart w:id="730" w:name="_Toc788"/>
      <w:bookmarkStart w:id="731" w:name="_Toc73112415"/>
      <w:bookmarkStart w:id="732" w:name="_Toc4682"/>
      <w:bookmarkStart w:id="733" w:name="_Toc414"/>
      <w:bookmarkStart w:id="734" w:name="_Toc19576"/>
      <w:bookmarkStart w:id="735" w:name="_Toc27811"/>
      <w:bookmarkStart w:id="736" w:name="_Toc23541"/>
      <w:bookmarkStart w:id="737" w:name="_Toc14968"/>
      <w:r>
        <w:rPr>
          <w:rFonts w:hint="eastAsia" w:ascii="仿宋" w:hAnsi="仿宋" w:eastAsia="仿宋" w:cs="仿宋"/>
          <w:b/>
          <w:bCs/>
          <w:color w:val="000000" w:themeColor="text1"/>
          <w14:textFill>
            <w14:solidFill>
              <w14:schemeClr w14:val="tx1"/>
            </w14:solidFill>
          </w14:textFill>
        </w:rPr>
        <w:t>1技术及培训服务</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07BD730C">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1.1投标方应负责对招标方</w:t>
      </w:r>
      <w:r>
        <w:rPr>
          <w:rFonts w:hint="eastAsia" w:ascii="仿宋" w:hAnsi="仿宋" w:eastAsia="仿宋" w:cs="仿宋"/>
          <w:color w:val="000000" w:themeColor="text1"/>
          <w:u w:val="single"/>
          <w:shd w:val="pct10" w:color="auto" w:fill="FFFFFF"/>
          <w14:textFill>
            <w14:solidFill>
              <w14:schemeClr w14:val="tx1"/>
            </w14:solidFill>
          </w14:textFill>
        </w:rPr>
        <w:t xml:space="preserve"> 3-5</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名工程技术人员、维修人员和操作人员提供不少于</w:t>
      </w:r>
      <w:r>
        <w:rPr>
          <w:rFonts w:hint="eastAsia" w:ascii="仿宋" w:hAnsi="仿宋" w:eastAsia="仿宋" w:cs="仿宋"/>
          <w:color w:val="000000" w:themeColor="text1"/>
          <w:u w:val="single"/>
          <w:shd w:val="pct10" w:color="auto" w:fill="FFFFFF"/>
          <w14:textFill>
            <w14:solidFill>
              <w14:schemeClr w14:val="tx1"/>
            </w14:solidFill>
          </w14:textFill>
        </w:rPr>
        <w:t xml:space="preserve"> 7</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个日历日的免费的、生产制造现场的理论、技术和操作、维修、安全等方面的指导和培训，并为招标方受培训人员提供免费的培训地交通、食宿条件。</w:t>
      </w:r>
    </w:p>
    <w:p w14:paraId="0A20E9E6">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1.2投标方应负责在招标方货物使用现场，进行</w:t>
      </w:r>
      <w:r>
        <w:rPr>
          <w:rFonts w:hint="eastAsia" w:ascii="仿宋" w:hAnsi="仿宋" w:eastAsia="仿宋" w:cs="仿宋"/>
          <w:color w:val="000000" w:themeColor="text1"/>
          <w:shd w:val="pct10" w:color="auto" w:fill="FFFFFF"/>
          <w14:textFill>
            <w14:solidFill>
              <w14:schemeClr w14:val="tx1"/>
            </w14:solidFill>
          </w14:textFill>
        </w:rPr>
        <w:t>2～3</w:t>
      </w:r>
      <w:r>
        <w:rPr>
          <w:rFonts w:hint="eastAsia" w:ascii="仿宋" w:hAnsi="仿宋" w:eastAsia="仿宋" w:cs="仿宋"/>
          <w:color w:val="000000" w:themeColor="text1"/>
          <w14:textFill>
            <w14:solidFill>
              <w14:schemeClr w14:val="tx1"/>
            </w14:solidFill>
          </w14:textFill>
        </w:rPr>
        <w:t>次免费的技术指导和培训，并接受招标方有关人员的技术咨询。</w:t>
      </w:r>
    </w:p>
    <w:p w14:paraId="4B4478B5">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1.3投标方应免费提供全套培训资料。所有设备均需要配备产品说明书，包括设备的内部结构、组成及保养、维护、调试等相关内容，便于生产人员及维修人员查阅。</w:t>
      </w:r>
    </w:p>
    <w:p w14:paraId="1E396984">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1.4投标方应按要求，免费积极协助和提供招标方以及招标方所委托的工程设计单位有关人员所需要的、与货物有关的工程设计资料、技术咨询等。</w:t>
      </w:r>
    </w:p>
    <w:p w14:paraId="53BDA649">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1.5若投标方提供的货物涉及到外购外协货物、而且该货物的技术质量等较为关键时，凡招标方提出需求的，投标方应能得到配套厂家的技术支持，并免费为招标方提供技术服务及培训。</w:t>
      </w:r>
    </w:p>
    <w:p w14:paraId="0F00A401">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2B8C56EA">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738" w:name="_Toc3892"/>
      <w:bookmarkStart w:id="739" w:name="_Toc1525"/>
      <w:bookmarkStart w:id="740" w:name="_Toc25721"/>
      <w:bookmarkStart w:id="741" w:name="_Toc13864"/>
      <w:bookmarkStart w:id="742" w:name="_Toc15028"/>
      <w:bookmarkStart w:id="743" w:name="_Toc15460"/>
      <w:bookmarkStart w:id="744" w:name="_Toc16867"/>
      <w:bookmarkStart w:id="745" w:name="_Toc21693"/>
      <w:bookmarkStart w:id="746" w:name="_Toc1176"/>
      <w:bookmarkStart w:id="747" w:name="_Toc22719"/>
      <w:bookmarkStart w:id="748" w:name="_Toc29691"/>
      <w:bookmarkStart w:id="749" w:name="_Toc5703"/>
      <w:bookmarkStart w:id="750" w:name="_Toc25347"/>
      <w:bookmarkStart w:id="751" w:name="_Toc17516"/>
      <w:bookmarkStart w:id="752" w:name="_Toc25595"/>
      <w:bookmarkStart w:id="753" w:name="_Toc3976"/>
      <w:bookmarkStart w:id="754" w:name="_Toc19866"/>
      <w:bookmarkStart w:id="755" w:name="_Toc30271"/>
      <w:bookmarkStart w:id="756" w:name="_Toc14504"/>
      <w:bookmarkStart w:id="757" w:name="_Toc16259"/>
      <w:bookmarkStart w:id="758" w:name="_Toc9824"/>
      <w:bookmarkStart w:id="759" w:name="_Toc11060"/>
      <w:bookmarkStart w:id="760" w:name="_Toc22880"/>
      <w:bookmarkStart w:id="761" w:name="_Toc26880"/>
      <w:bookmarkStart w:id="762" w:name="_Toc31039"/>
      <w:bookmarkStart w:id="763" w:name="_Toc19800"/>
      <w:bookmarkStart w:id="764" w:name="_Toc26197"/>
      <w:bookmarkStart w:id="765" w:name="_Toc16493"/>
      <w:bookmarkStart w:id="766" w:name="_Toc16207"/>
      <w:bookmarkStart w:id="767" w:name="_Toc73112416"/>
      <w:bookmarkStart w:id="768" w:name="_Toc32690"/>
      <w:bookmarkStart w:id="769" w:name="_Toc1420"/>
      <w:bookmarkStart w:id="770" w:name="_Toc22693"/>
      <w:bookmarkStart w:id="771" w:name="_Toc3907"/>
      <w:bookmarkStart w:id="772" w:name="_Toc17849"/>
      <w:bookmarkStart w:id="773" w:name="_Toc29413"/>
      <w:bookmarkStart w:id="774" w:name="_Toc13970"/>
      <w:bookmarkStart w:id="775" w:name="_Toc29981"/>
      <w:bookmarkStart w:id="776" w:name="_Toc17865"/>
      <w:bookmarkStart w:id="777" w:name="_Toc6394"/>
      <w:bookmarkStart w:id="778" w:name="_Toc10782"/>
      <w:bookmarkStart w:id="779" w:name="_Toc13235"/>
      <w:bookmarkStart w:id="780" w:name="_Toc3042"/>
      <w:bookmarkStart w:id="781" w:name="_Toc11516"/>
      <w:bookmarkStart w:id="782" w:name="_Toc26430"/>
      <w:r>
        <w:rPr>
          <w:rFonts w:hint="eastAsia" w:ascii="仿宋" w:hAnsi="仿宋" w:eastAsia="仿宋" w:cs="仿宋"/>
          <w:b/>
          <w:bCs/>
          <w:color w:val="000000" w:themeColor="text1"/>
          <w14:textFill>
            <w14:solidFill>
              <w14:schemeClr w14:val="tx1"/>
            </w14:solidFill>
          </w14:textFill>
        </w:rPr>
        <w:t>2安装调试服务</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14:paraId="149F4843">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2.1根据货物的要求，调试可分空载和负载两个阶段进行；招标方将予以积极配合，协助投标方达到货物的各项技术指标和性能要求。</w:t>
      </w:r>
    </w:p>
    <w:p w14:paraId="59D884C8">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安装调试与验收期间，若投标方提供的货物涉及到外购外协货物、而且该货物的技术质量等较为关键时，凡招标方提出需求的，投标方应能得到配套厂家的技术支持，并免费为招标方提供安装使用现场的指导与协调。</w:t>
      </w:r>
    </w:p>
    <w:p w14:paraId="52342603">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2.3投标方提供收费的或免费的、指导安装调试或负责安装调试，至少应在投标文件的报价章节中，予以明确说明。</w:t>
      </w:r>
    </w:p>
    <w:p w14:paraId="0C3FF20F">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783" w:name="_Toc11229"/>
      <w:bookmarkStart w:id="784" w:name="_Toc13443"/>
      <w:bookmarkStart w:id="785" w:name="_Toc218"/>
      <w:bookmarkStart w:id="786" w:name="_Toc2510"/>
      <w:bookmarkStart w:id="787" w:name="_Toc16373"/>
      <w:bookmarkStart w:id="788" w:name="_Toc25079"/>
      <w:bookmarkStart w:id="789" w:name="_Toc24615"/>
      <w:bookmarkStart w:id="790" w:name="_Toc4076"/>
      <w:bookmarkStart w:id="791" w:name="_Toc19810"/>
      <w:bookmarkStart w:id="792" w:name="_Toc17284"/>
      <w:bookmarkStart w:id="793" w:name="_Toc16435"/>
      <w:bookmarkStart w:id="794" w:name="_Toc12739"/>
      <w:bookmarkStart w:id="795" w:name="_Toc3170"/>
      <w:bookmarkStart w:id="796" w:name="_Toc19674"/>
      <w:bookmarkStart w:id="797" w:name="_Toc10635"/>
      <w:bookmarkStart w:id="798" w:name="_Toc27515"/>
      <w:bookmarkStart w:id="799" w:name="_Toc30193"/>
      <w:bookmarkStart w:id="800" w:name="_Toc16706"/>
      <w:bookmarkStart w:id="801" w:name="_Toc2097"/>
      <w:bookmarkStart w:id="802" w:name="_Toc2772"/>
      <w:bookmarkStart w:id="803" w:name="_Toc7956"/>
      <w:bookmarkStart w:id="804" w:name="_Toc29126"/>
      <w:bookmarkStart w:id="805" w:name="_Toc9878"/>
      <w:bookmarkStart w:id="806" w:name="_Toc16337"/>
      <w:bookmarkStart w:id="807" w:name="_Toc1565"/>
      <w:bookmarkStart w:id="808" w:name="_Toc32488"/>
      <w:bookmarkStart w:id="809" w:name="_Toc2657"/>
      <w:bookmarkStart w:id="810" w:name="_Toc16916"/>
      <w:bookmarkStart w:id="811" w:name="_Toc478"/>
      <w:bookmarkStart w:id="812" w:name="_Toc7783"/>
      <w:bookmarkStart w:id="813" w:name="_Toc29245"/>
      <w:bookmarkStart w:id="814" w:name="_Toc9329"/>
      <w:bookmarkStart w:id="815" w:name="_Toc22871"/>
      <w:bookmarkStart w:id="816" w:name="_Toc13921"/>
      <w:bookmarkStart w:id="817" w:name="_Toc9269"/>
      <w:bookmarkStart w:id="818" w:name="_Toc628"/>
      <w:bookmarkStart w:id="819" w:name="_Toc32442"/>
      <w:bookmarkStart w:id="820" w:name="_Toc17427"/>
      <w:bookmarkStart w:id="821" w:name="_Toc30398"/>
      <w:bookmarkStart w:id="822" w:name="_Toc4751"/>
      <w:bookmarkStart w:id="823" w:name="_Toc8975"/>
      <w:bookmarkStart w:id="824" w:name="_Toc29125"/>
      <w:bookmarkStart w:id="825" w:name="_Toc18269"/>
      <w:bookmarkStart w:id="826" w:name="_Toc1585"/>
      <w:bookmarkStart w:id="827" w:name="_Toc73112417"/>
      <w:r>
        <w:rPr>
          <w:rFonts w:hint="eastAsia" w:ascii="仿宋" w:hAnsi="仿宋" w:eastAsia="仿宋" w:cs="仿宋"/>
          <w:b/>
          <w:bCs/>
          <w:color w:val="000000" w:themeColor="text1"/>
          <w14:textFill>
            <w14:solidFill>
              <w14:schemeClr w14:val="tx1"/>
            </w14:solidFill>
          </w14:textFill>
        </w:rPr>
        <w:t>3验收服务</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4E5E8647">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bookmarkStart w:id="828" w:name="_Toc21987"/>
      <w:bookmarkStart w:id="829" w:name="_Toc73112418"/>
      <w:bookmarkStart w:id="830" w:name="_Toc20916"/>
      <w:bookmarkStart w:id="831" w:name="_Toc1199"/>
      <w:bookmarkStart w:id="832" w:name="_Toc1311"/>
      <w:bookmarkStart w:id="833" w:name="_Toc32079"/>
      <w:bookmarkStart w:id="834" w:name="_Toc7478"/>
      <w:bookmarkStart w:id="835" w:name="_Toc20717"/>
      <w:bookmarkStart w:id="836" w:name="_Toc10808"/>
      <w:bookmarkStart w:id="837" w:name="_Toc32682"/>
      <w:bookmarkStart w:id="838" w:name="_Toc9592"/>
      <w:bookmarkStart w:id="839" w:name="_Toc18836"/>
      <w:bookmarkStart w:id="840" w:name="_Toc28635"/>
      <w:bookmarkStart w:id="841" w:name="_Toc542"/>
      <w:bookmarkStart w:id="842" w:name="_Toc20081"/>
      <w:bookmarkStart w:id="843" w:name="_Toc14739"/>
      <w:bookmarkStart w:id="844" w:name="_Toc26554"/>
      <w:bookmarkStart w:id="845" w:name="_Toc29633"/>
      <w:bookmarkStart w:id="846" w:name="_Toc27224"/>
      <w:bookmarkStart w:id="847" w:name="_Toc10014"/>
      <w:bookmarkStart w:id="848" w:name="_Toc29300"/>
      <w:bookmarkStart w:id="849" w:name="_Toc17056"/>
      <w:bookmarkStart w:id="850" w:name="_Toc1454"/>
      <w:bookmarkStart w:id="851" w:name="_Toc22392"/>
      <w:bookmarkStart w:id="852" w:name="_Toc18968"/>
      <w:bookmarkStart w:id="853" w:name="_Toc29778"/>
      <w:bookmarkStart w:id="854" w:name="_Toc17895"/>
      <w:bookmarkStart w:id="855" w:name="_Toc26773"/>
      <w:bookmarkStart w:id="856" w:name="_Toc11213"/>
      <w:bookmarkStart w:id="857" w:name="_Toc4417"/>
      <w:bookmarkStart w:id="858" w:name="_Toc11699"/>
      <w:bookmarkStart w:id="859" w:name="_Toc20426"/>
      <w:bookmarkStart w:id="860" w:name="_Toc6232"/>
      <w:bookmarkStart w:id="861" w:name="_Toc19397"/>
      <w:bookmarkStart w:id="862" w:name="_Toc30412"/>
      <w:bookmarkStart w:id="863" w:name="_Toc3798"/>
      <w:bookmarkStart w:id="864" w:name="_Toc8078"/>
      <w:bookmarkStart w:id="865" w:name="_Toc7782"/>
      <w:bookmarkStart w:id="866" w:name="_Toc2093"/>
      <w:bookmarkStart w:id="867" w:name="_Toc19441"/>
      <w:bookmarkStart w:id="868" w:name="_Toc22965"/>
      <w:bookmarkStart w:id="869" w:name="_Toc6099"/>
      <w:r>
        <w:rPr>
          <w:rFonts w:hint="eastAsia" w:ascii="仿宋" w:hAnsi="仿宋" w:eastAsia="仿宋" w:cs="仿宋"/>
          <w:color w:val="000000" w:themeColor="text1"/>
          <w14:textFill>
            <w14:solidFill>
              <w14:schemeClr w14:val="tx1"/>
            </w14:solidFill>
          </w14:textFill>
        </w:rPr>
        <w:t>3.1投标方在招标方现场进行的货物的预验收和终验收配合或指导，应当是免费的。</w:t>
      </w:r>
    </w:p>
    <w:p w14:paraId="36DAD2A7">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 货物验收时，若投标方提供的货物涉及到外购外协货物、而且该货物的技术质量等较为关键时，投标方应能得到配套厂家的技术支持，并免费为招标方提供使用现场验收的配合或指导。</w:t>
      </w:r>
    </w:p>
    <w:p w14:paraId="7A9BF559">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08586F79">
      <w:pPr>
        <w:snapToGrid w:val="0"/>
        <w:spacing w:line="360" w:lineRule="auto"/>
        <w:ind w:left="480"/>
        <w:outlineLvl w:val="1"/>
        <w:rPr>
          <w:rFonts w:hint="eastAsia" w:ascii="仿宋" w:hAnsi="仿宋" w:eastAsia="仿宋" w:cs="仿宋"/>
          <w:b/>
          <w:bCs/>
          <w:color w:val="000000" w:themeColor="text1"/>
          <w14:textFill>
            <w14:solidFill>
              <w14:schemeClr w14:val="tx1"/>
            </w14:solidFill>
          </w14:textFill>
        </w:rPr>
      </w:pPr>
      <w:bookmarkStart w:id="870" w:name="_Toc26183"/>
      <w:bookmarkStart w:id="871" w:name="_Toc988"/>
      <w:r>
        <w:rPr>
          <w:rFonts w:hint="eastAsia" w:ascii="仿宋" w:hAnsi="仿宋" w:eastAsia="仿宋" w:cs="仿宋"/>
          <w:b/>
          <w:bCs/>
          <w:color w:val="000000" w:themeColor="text1"/>
          <w14:textFill>
            <w14:solidFill>
              <w14:schemeClr w14:val="tx1"/>
            </w14:solidFill>
          </w14:textFill>
        </w:rPr>
        <w:t>4售后服务</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06DF65B7">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4.1所有的售后服务均由投标方受理。如果发生问题并且收到报告，投标方应当在2小时内予以答复。</w:t>
      </w:r>
    </w:p>
    <w:p w14:paraId="5C29F812">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4.2如发现所提供的货物存在问题，需要投标方解决或配合解决时：在质保期之内，应在接到通知后</w:t>
      </w:r>
      <w:r>
        <w:rPr>
          <w:rFonts w:hint="eastAsia" w:ascii="仿宋" w:hAnsi="仿宋" w:eastAsia="仿宋" w:cs="仿宋"/>
          <w:color w:val="000000" w:themeColor="text1"/>
          <w:u w:val="single"/>
          <w:shd w:val="pct10" w:color="auto" w:fill="FFFFFF"/>
          <w14:textFill>
            <w14:solidFill>
              <w14:schemeClr w14:val="tx1"/>
            </w14:solidFill>
          </w14:textFill>
        </w:rPr>
        <w:t>24</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小时内派有关人员到达现场；在质保期之外，应在接到通知后</w:t>
      </w:r>
      <w:r>
        <w:rPr>
          <w:rFonts w:hint="eastAsia" w:ascii="仿宋" w:hAnsi="仿宋" w:eastAsia="仿宋" w:cs="仿宋"/>
          <w:color w:val="000000" w:themeColor="text1"/>
          <w:u w:val="single"/>
          <w:shd w:val="pct10" w:color="auto" w:fill="FFFFFF"/>
          <w14:textFill>
            <w14:solidFill>
              <w14:schemeClr w14:val="tx1"/>
            </w14:solidFill>
          </w14:textFill>
        </w:rPr>
        <w:t>24</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小时内派有关人员到达现场。</w:t>
      </w:r>
    </w:p>
    <w:p w14:paraId="7B4FBF11">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4.3投标方派往招标方使用现场的人员，应具有较高的业务素质；现场解决问题时，不得无故拖延或推迟，应为招标方提供最佳的服务。</w:t>
      </w:r>
    </w:p>
    <w:p w14:paraId="2575B6E1">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872" w:name="_Toc10752"/>
      <w:bookmarkStart w:id="873" w:name="_Toc1438"/>
      <w:bookmarkStart w:id="874" w:name="_Toc18148"/>
      <w:bookmarkStart w:id="875" w:name="_Toc28927"/>
      <w:bookmarkStart w:id="876" w:name="_Toc16849"/>
      <w:bookmarkStart w:id="877" w:name="_Toc22262"/>
      <w:bookmarkStart w:id="878" w:name="_Toc6107"/>
      <w:bookmarkStart w:id="879" w:name="_Toc6354"/>
      <w:bookmarkStart w:id="880" w:name="_Toc12294"/>
      <w:bookmarkStart w:id="881" w:name="_Toc25242"/>
      <w:bookmarkStart w:id="882" w:name="_Toc13974"/>
      <w:bookmarkStart w:id="883" w:name="_Toc4793"/>
      <w:bookmarkStart w:id="884" w:name="_Toc32502"/>
      <w:bookmarkStart w:id="885" w:name="_Toc25994"/>
      <w:bookmarkStart w:id="886" w:name="_Toc9688"/>
      <w:bookmarkStart w:id="887" w:name="_Toc30999"/>
      <w:bookmarkStart w:id="888" w:name="_Toc6984"/>
      <w:bookmarkStart w:id="889" w:name="_Toc3819"/>
      <w:bookmarkStart w:id="890" w:name="_Toc20936"/>
      <w:bookmarkStart w:id="891" w:name="_Toc27505"/>
      <w:bookmarkStart w:id="892" w:name="_Toc22593"/>
      <w:bookmarkStart w:id="893" w:name="_Toc30887"/>
      <w:bookmarkStart w:id="894" w:name="_Toc32366"/>
      <w:bookmarkStart w:id="895" w:name="_Toc9982"/>
      <w:bookmarkStart w:id="896" w:name="_Toc1573"/>
      <w:bookmarkStart w:id="897" w:name="_Toc1118"/>
      <w:bookmarkStart w:id="898" w:name="_Toc26976"/>
      <w:bookmarkStart w:id="899" w:name="_Toc25693"/>
      <w:bookmarkStart w:id="900" w:name="_Toc73112419"/>
      <w:bookmarkStart w:id="901" w:name="_Toc17891"/>
      <w:bookmarkStart w:id="902" w:name="_Toc3912"/>
      <w:bookmarkStart w:id="903" w:name="_Toc6730"/>
      <w:bookmarkStart w:id="904" w:name="_Toc31498"/>
      <w:bookmarkStart w:id="905" w:name="_Toc14349"/>
      <w:bookmarkStart w:id="906" w:name="_Toc913"/>
      <w:bookmarkStart w:id="907" w:name="_Toc26623"/>
      <w:bookmarkStart w:id="908" w:name="_Toc26287"/>
      <w:bookmarkStart w:id="909" w:name="_Toc19301"/>
      <w:bookmarkStart w:id="910" w:name="_Toc27733"/>
      <w:bookmarkStart w:id="911" w:name="_Toc27285"/>
      <w:bookmarkStart w:id="912" w:name="_Toc115"/>
      <w:bookmarkStart w:id="913" w:name="_Toc20327"/>
      <w:bookmarkStart w:id="914" w:name="_Toc22732"/>
      <w:bookmarkStart w:id="915" w:name="_Toc21895"/>
      <w:bookmarkStart w:id="916" w:name="_Toc7130"/>
      <w:r>
        <w:rPr>
          <w:rFonts w:hint="eastAsia" w:ascii="仿宋" w:hAnsi="仿宋" w:eastAsia="仿宋" w:cs="仿宋"/>
          <w:b/>
          <w:bCs/>
          <w:color w:val="000000" w:themeColor="text1"/>
          <w14:textFill>
            <w14:solidFill>
              <w14:schemeClr w14:val="tx1"/>
            </w14:solidFill>
          </w14:textFill>
        </w:rPr>
        <w:t>5其它服务</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14:paraId="7F12CFC8">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917" w:name="_Toc25825"/>
      <w:bookmarkStart w:id="918" w:name="_Toc11150"/>
      <w:bookmarkStart w:id="919" w:name="_Toc12013"/>
      <w:bookmarkStart w:id="920" w:name="_Toc12454"/>
      <w:bookmarkStart w:id="921" w:name="_Toc21122"/>
      <w:bookmarkStart w:id="922" w:name="_Toc24752"/>
      <w:bookmarkStart w:id="923" w:name="_Toc30293"/>
      <w:bookmarkStart w:id="924" w:name="_Toc16312"/>
      <w:bookmarkStart w:id="925" w:name="_Toc19942"/>
      <w:bookmarkStart w:id="926" w:name="_Toc7461"/>
      <w:bookmarkStart w:id="927" w:name="_Toc4011"/>
      <w:bookmarkStart w:id="928" w:name="_Toc18030"/>
      <w:bookmarkStart w:id="929" w:name="_Toc15356"/>
      <w:bookmarkStart w:id="930" w:name="_Toc73112420"/>
      <w:bookmarkStart w:id="931" w:name="_Toc10492"/>
      <w:bookmarkStart w:id="932" w:name="_Toc13895"/>
      <w:bookmarkStart w:id="933" w:name="_Toc2800"/>
      <w:bookmarkStart w:id="934" w:name="_Toc9482"/>
      <w:bookmarkStart w:id="935" w:name="_Toc9121"/>
      <w:bookmarkStart w:id="936" w:name="_Toc2140"/>
      <w:bookmarkStart w:id="937" w:name="_Toc25057"/>
      <w:bookmarkStart w:id="938" w:name="_Toc23730"/>
      <w:bookmarkStart w:id="939" w:name="_Toc5996"/>
      <w:bookmarkStart w:id="940" w:name="_Toc10873"/>
      <w:bookmarkStart w:id="941" w:name="_Toc9498"/>
      <w:bookmarkStart w:id="942" w:name="_Toc19208"/>
      <w:bookmarkStart w:id="943" w:name="_Toc8547"/>
      <w:bookmarkStart w:id="944" w:name="_Toc13250"/>
      <w:bookmarkStart w:id="945" w:name="_Toc5013"/>
      <w:bookmarkStart w:id="946" w:name="_Toc10438"/>
      <w:bookmarkStart w:id="947" w:name="_Toc29269"/>
      <w:bookmarkStart w:id="948" w:name="_Toc14411"/>
      <w:bookmarkStart w:id="949" w:name="_Toc16355"/>
      <w:bookmarkStart w:id="950" w:name="_Toc18621"/>
      <w:bookmarkStart w:id="951" w:name="_Toc26489"/>
      <w:bookmarkStart w:id="952" w:name="_Toc22725"/>
      <w:bookmarkStart w:id="953" w:name="_Toc29777"/>
      <w:bookmarkStart w:id="954" w:name="_Toc8076"/>
      <w:bookmarkStart w:id="955" w:name="_Toc19017"/>
      <w:bookmarkStart w:id="956" w:name="_Toc133783974"/>
      <w:bookmarkStart w:id="957" w:name="_Toc6228"/>
      <w:bookmarkStart w:id="958" w:name="_Toc32483"/>
      <w:bookmarkStart w:id="959" w:name="_Toc32409"/>
      <w:bookmarkStart w:id="960" w:name="_Toc27484"/>
      <w:r>
        <w:rPr>
          <w:rFonts w:hint="eastAsia" w:ascii="仿宋" w:hAnsi="仿宋" w:eastAsia="仿宋" w:cs="仿宋"/>
          <w:color w:val="000000" w:themeColor="text1"/>
          <w14:textFill>
            <w14:solidFill>
              <w14:schemeClr w14:val="tx1"/>
            </w14:solidFill>
          </w14:textFill>
        </w:rPr>
        <w:t>5.1若投标方所提供货物有需要进口的，投标方一般应自行、自费办理；必要时，招标方和投标方共同办理。</w:t>
      </w:r>
    </w:p>
    <w:p w14:paraId="7AA712E8">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5.2除招标文件、投标文件、答疑文件、技术协议、合同等约定之外，投标方应免费负责必要的或强制性的货物的检验、试验、化验等直接费用。</w:t>
      </w:r>
    </w:p>
    <w:p w14:paraId="798F32BF">
      <w:pPr>
        <w:adjustRightInd w:val="0"/>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5.3本章节条款所列“免费”，并非指定不可收费，而是指招标文件、投标文件、答疑文件、技术交流文件、技术协议书和合同等范围之外，投标方不可另行收取的费用。</w:t>
      </w:r>
    </w:p>
    <w:p w14:paraId="5265D030">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68FD2A05">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961" w:name="_Toc2984"/>
      <w:bookmarkStart w:id="962" w:name="_Toc30753"/>
      <w:bookmarkStart w:id="963" w:name="_Toc22807"/>
      <w:r>
        <w:rPr>
          <w:rFonts w:hint="eastAsia" w:ascii="仿宋" w:hAnsi="仿宋" w:eastAsia="仿宋" w:cs="仿宋"/>
          <w:b/>
          <w:bCs/>
          <w:color w:val="000000" w:themeColor="text1"/>
          <w14:textFill>
            <w14:solidFill>
              <w14:schemeClr w14:val="tx1"/>
            </w14:solidFill>
          </w14:textFill>
        </w:rPr>
        <w:t>第五章预验收和终验收</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6B4FA766">
      <w:pPr>
        <w:snapToGrid w:val="0"/>
        <w:spacing w:line="360" w:lineRule="auto"/>
        <w:ind w:left="482"/>
        <w:outlineLvl w:val="1"/>
        <w:rPr>
          <w:rFonts w:ascii="仿宋" w:hAnsi="仿宋" w:eastAsia="仿宋" w:cs="仿宋"/>
          <w:b/>
          <w:bCs/>
          <w:color w:val="000000" w:themeColor="text1"/>
          <w14:textFill>
            <w14:solidFill>
              <w14:schemeClr w14:val="tx1"/>
            </w14:solidFill>
          </w14:textFill>
        </w:rPr>
      </w:pPr>
      <w:bookmarkStart w:id="964" w:name="_Toc21206"/>
      <w:bookmarkStart w:id="965" w:name="_Toc1286"/>
      <w:bookmarkStart w:id="966" w:name="_Toc10033"/>
      <w:bookmarkStart w:id="967" w:name="_Toc242"/>
      <w:bookmarkStart w:id="968" w:name="_Toc21402"/>
      <w:bookmarkStart w:id="969" w:name="_Toc12676"/>
      <w:bookmarkStart w:id="970" w:name="_Toc7184"/>
      <w:bookmarkStart w:id="971" w:name="_Toc29608"/>
      <w:bookmarkStart w:id="972" w:name="_Toc6924"/>
      <w:bookmarkStart w:id="973" w:name="_Toc2326"/>
      <w:bookmarkStart w:id="974" w:name="_Toc14249"/>
      <w:bookmarkStart w:id="975" w:name="_Toc11331"/>
      <w:bookmarkStart w:id="976" w:name="_Toc13718"/>
      <w:bookmarkStart w:id="977" w:name="_Toc22140"/>
      <w:bookmarkStart w:id="978" w:name="_Toc29287"/>
      <w:bookmarkStart w:id="979" w:name="_Toc17620"/>
      <w:bookmarkStart w:id="980" w:name="_Toc25574"/>
      <w:bookmarkStart w:id="981" w:name="_Toc4070"/>
      <w:bookmarkStart w:id="982" w:name="_Toc3676"/>
      <w:bookmarkStart w:id="983" w:name="_Toc31478"/>
      <w:bookmarkStart w:id="984" w:name="_Toc15025"/>
      <w:bookmarkStart w:id="985" w:name="_Toc24517"/>
      <w:bookmarkStart w:id="986" w:name="_Toc28506"/>
      <w:bookmarkStart w:id="987" w:name="_Toc27448"/>
      <w:bookmarkStart w:id="988" w:name="_Toc23231"/>
      <w:bookmarkStart w:id="989" w:name="_Toc7191"/>
      <w:bookmarkStart w:id="990" w:name="_Toc73112421"/>
      <w:bookmarkStart w:id="991" w:name="_Toc9902"/>
      <w:bookmarkStart w:id="992" w:name="_Toc27225"/>
      <w:bookmarkStart w:id="993" w:name="_Toc22981"/>
      <w:bookmarkStart w:id="994" w:name="_Toc29964"/>
      <w:bookmarkStart w:id="995" w:name="_Toc27951"/>
      <w:bookmarkStart w:id="996" w:name="_Toc12239"/>
      <w:bookmarkStart w:id="997" w:name="_Toc21557"/>
      <w:bookmarkStart w:id="998" w:name="_Toc14541"/>
      <w:bookmarkStart w:id="999" w:name="_Toc6378"/>
      <w:bookmarkStart w:id="1000" w:name="_Toc22207"/>
      <w:bookmarkStart w:id="1001" w:name="_Toc23191"/>
      <w:bookmarkStart w:id="1002" w:name="_Toc29611"/>
      <w:bookmarkStart w:id="1003" w:name="_Toc14965"/>
      <w:bookmarkStart w:id="1004" w:name="_Toc7463"/>
      <w:bookmarkStart w:id="1005" w:name="_Toc28073"/>
      <w:bookmarkStart w:id="1006" w:name="_Toc17568"/>
      <w:bookmarkStart w:id="1007" w:name="_Toc24809"/>
      <w:bookmarkStart w:id="1008" w:name="_Toc5401"/>
      <w:r>
        <w:rPr>
          <w:rFonts w:hint="eastAsia" w:ascii="仿宋" w:hAnsi="仿宋" w:eastAsia="仿宋" w:cs="仿宋"/>
          <w:b/>
          <w:bCs/>
          <w:color w:val="000000" w:themeColor="text1"/>
          <w14:textFill>
            <w14:solidFill>
              <w14:schemeClr w14:val="tx1"/>
            </w14:solidFill>
          </w14:textFill>
        </w:rPr>
        <w:t>1验收的一般约定</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14:paraId="135DF2F1">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1.1验收标准一般以技术协议书和合同规定验收。</w:t>
      </w:r>
    </w:p>
    <w:p w14:paraId="4317EF45">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1.2如果验收过程中，发现招标文件、投标文件、答疑文件、技术交流文件等与技术协议书、合同存在差异，原则上以涉及条款中对买方最有利条款为验收依据。</w:t>
      </w:r>
    </w:p>
    <w:p w14:paraId="4BE120FA">
      <w:pPr>
        <w:snapToGrid w:val="0"/>
        <w:spacing w:line="360" w:lineRule="auto"/>
        <w:ind w:left="482"/>
        <w:outlineLvl w:val="1"/>
        <w:rPr>
          <w:rFonts w:ascii="仿宋" w:hAnsi="仿宋" w:eastAsia="仿宋" w:cs="仿宋"/>
          <w:b/>
          <w:bCs/>
          <w:color w:val="000000" w:themeColor="text1"/>
          <w14:textFill>
            <w14:solidFill>
              <w14:schemeClr w14:val="tx1"/>
            </w14:solidFill>
          </w14:textFill>
        </w:rPr>
      </w:pPr>
      <w:bookmarkStart w:id="1009" w:name="_Toc8916"/>
      <w:bookmarkStart w:id="1010" w:name="_Toc27120"/>
      <w:bookmarkStart w:id="1011" w:name="_Toc73112422"/>
      <w:bookmarkStart w:id="1012" w:name="_Toc10200"/>
      <w:bookmarkStart w:id="1013" w:name="_Toc2310"/>
      <w:bookmarkStart w:id="1014" w:name="_Toc21722"/>
      <w:bookmarkStart w:id="1015" w:name="_Toc15379"/>
      <w:bookmarkStart w:id="1016" w:name="_Toc21414"/>
      <w:bookmarkStart w:id="1017" w:name="_Toc7863"/>
      <w:bookmarkStart w:id="1018" w:name="_Toc23013"/>
      <w:bookmarkStart w:id="1019" w:name="_Toc16943"/>
      <w:bookmarkStart w:id="1020" w:name="_Toc513"/>
      <w:bookmarkStart w:id="1021" w:name="_Toc11248"/>
      <w:bookmarkStart w:id="1022" w:name="_Toc23133"/>
      <w:bookmarkStart w:id="1023" w:name="_Toc8093"/>
      <w:bookmarkStart w:id="1024" w:name="_Toc25951"/>
      <w:bookmarkStart w:id="1025" w:name="_Toc23919"/>
      <w:bookmarkStart w:id="1026" w:name="_Toc28925"/>
      <w:bookmarkStart w:id="1027" w:name="_Toc8742"/>
      <w:bookmarkStart w:id="1028" w:name="_Toc18517"/>
      <w:bookmarkStart w:id="1029" w:name="_Toc22558"/>
      <w:bookmarkStart w:id="1030" w:name="_Toc16278"/>
      <w:bookmarkStart w:id="1031" w:name="_Toc1155"/>
      <w:bookmarkStart w:id="1032" w:name="_Toc22158"/>
      <w:bookmarkStart w:id="1033" w:name="_Toc6471"/>
      <w:bookmarkStart w:id="1034" w:name="_Toc6206"/>
      <w:bookmarkStart w:id="1035" w:name="_Toc32581"/>
      <w:bookmarkStart w:id="1036" w:name="_Toc27467"/>
      <w:bookmarkStart w:id="1037" w:name="_Toc9729"/>
      <w:bookmarkStart w:id="1038" w:name="_Toc8338"/>
      <w:bookmarkStart w:id="1039" w:name="_Toc20876"/>
      <w:bookmarkStart w:id="1040" w:name="_Toc7457"/>
      <w:bookmarkStart w:id="1041" w:name="_Toc10568"/>
      <w:bookmarkStart w:id="1042" w:name="_Toc17335"/>
      <w:bookmarkStart w:id="1043" w:name="_Toc17720"/>
      <w:bookmarkStart w:id="1044" w:name="_Toc19505"/>
      <w:bookmarkStart w:id="1045" w:name="_Toc13736"/>
      <w:bookmarkStart w:id="1046" w:name="_Toc11335"/>
      <w:bookmarkStart w:id="1047" w:name="_Toc28148"/>
      <w:bookmarkStart w:id="1048" w:name="_Toc21568"/>
      <w:bookmarkStart w:id="1049" w:name="_Toc31116"/>
      <w:bookmarkStart w:id="1050" w:name="_Toc13173"/>
      <w:bookmarkStart w:id="1051" w:name="_Toc28873"/>
      <w:bookmarkStart w:id="1052" w:name="_Toc29669"/>
      <w:bookmarkStart w:id="1053" w:name="_Toc30274"/>
      <w:r>
        <w:rPr>
          <w:rFonts w:hint="eastAsia" w:ascii="仿宋" w:hAnsi="仿宋" w:eastAsia="仿宋" w:cs="仿宋"/>
          <w:b/>
          <w:bCs/>
          <w:color w:val="000000" w:themeColor="text1"/>
          <w14:textFill>
            <w14:solidFill>
              <w14:schemeClr w14:val="tx1"/>
            </w14:solidFill>
          </w14:textFill>
        </w:rPr>
        <w:t>2检验</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101F6233">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1054" w:name="_Toc32111"/>
      <w:bookmarkStart w:id="1055" w:name="_Toc8214"/>
      <w:bookmarkStart w:id="1056" w:name="_Toc23250"/>
      <w:bookmarkStart w:id="1057" w:name="_Toc15488"/>
      <w:bookmarkStart w:id="1058" w:name="_Toc228"/>
      <w:bookmarkStart w:id="1059" w:name="_Toc10879"/>
      <w:bookmarkStart w:id="1060" w:name="_Toc8128"/>
      <w:bookmarkStart w:id="1061" w:name="_Toc29497"/>
      <w:bookmarkStart w:id="1062" w:name="_Toc5653"/>
      <w:bookmarkStart w:id="1063" w:name="_Toc8664"/>
      <w:bookmarkStart w:id="1064" w:name="_Toc1969"/>
      <w:bookmarkStart w:id="1065" w:name="_Toc21487"/>
      <w:bookmarkStart w:id="1066" w:name="_Toc17499"/>
      <w:bookmarkStart w:id="1067" w:name="_Toc73112423"/>
      <w:bookmarkStart w:id="1068" w:name="_Toc28225"/>
      <w:bookmarkStart w:id="1069" w:name="_Toc14587"/>
      <w:bookmarkStart w:id="1070" w:name="_Toc27145"/>
      <w:bookmarkStart w:id="1071" w:name="_Toc14844"/>
      <w:bookmarkStart w:id="1072" w:name="_Toc22379"/>
      <w:bookmarkStart w:id="1073" w:name="_Toc1041"/>
      <w:bookmarkStart w:id="1074" w:name="_Toc27594"/>
      <w:bookmarkStart w:id="1075" w:name="_Toc6506"/>
      <w:bookmarkStart w:id="1076" w:name="_Toc14904"/>
      <w:bookmarkStart w:id="1077" w:name="_Toc21757"/>
      <w:bookmarkStart w:id="1078" w:name="_Toc16665"/>
      <w:bookmarkStart w:id="1079" w:name="_Toc18595"/>
      <w:bookmarkStart w:id="1080" w:name="_Toc1461"/>
      <w:bookmarkStart w:id="1081" w:name="_Toc25654"/>
      <w:bookmarkStart w:id="1082" w:name="_Toc27538"/>
      <w:bookmarkStart w:id="1083" w:name="_Toc8477"/>
      <w:bookmarkStart w:id="1084" w:name="_Toc27310"/>
      <w:bookmarkStart w:id="1085" w:name="_Toc18036"/>
      <w:bookmarkStart w:id="1086" w:name="_Toc11780"/>
      <w:bookmarkStart w:id="1087" w:name="_Toc31780"/>
      <w:bookmarkStart w:id="1088" w:name="_Toc16878"/>
      <w:bookmarkStart w:id="1089" w:name="_Toc5604"/>
      <w:bookmarkStart w:id="1090" w:name="_Toc23252"/>
      <w:bookmarkStart w:id="1091" w:name="_Toc27629"/>
      <w:bookmarkStart w:id="1092" w:name="_Toc11846"/>
      <w:bookmarkStart w:id="1093" w:name="_Toc30797"/>
      <w:bookmarkStart w:id="1094" w:name="_Toc14993"/>
      <w:bookmarkStart w:id="1095" w:name="_Toc19311"/>
      <w:r>
        <w:rPr>
          <w:rFonts w:hint="eastAsia" w:ascii="仿宋" w:hAnsi="仿宋" w:eastAsia="仿宋" w:cs="仿宋"/>
          <w:color w:val="000000" w:themeColor="text1"/>
          <w14:textFill>
            <w14:solidFill>
              <w14:schemeClr w14:val="tx1"/>
            </w14:solidFill>
          </w14:textFill>
        </w:rPr>
        <w:t>2.1国产货物的检验由卖买双方按照合同要求或在制造现场进行。</w:t>
      </w:r>
    </w:p>
    <w:p w14:paraId="010100F0">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2.2卖方应依据合同规定的要求，提供买卖双方达成一致的货物的验收标准和装箱单，作为买方检验的依据。</w:t>
      </w:r>
    </w:p>
    <w:p w14:paraId="56D9DF6C">
      <w:pPr>
        <w:snapToGrid w:val="0"/>
        <w:spacing w:line="360" w:lineRule="auto"/>
        <w:ind w:left="482"/>
        <w:outlineLvl w:val="1"/>
        <w:rPr>
          <w:rFonts w:ascii="仿宋" w:hAnsi="仿宋" w:eastAsia="仿宋" w:cs="仿宋"/>
          <w:b/>
          <w:bCs/>
          <w:color w:val="000000" w:themeColor="text1"/>
          <w14:textFill>
            <w14:solidFill>
              <w14:schemeClr w14:val="tx1"/>
            </w14:solidFill>
          </w14:textFill>
        </w:rPr>
      </w:pPr>
      <w:bookmarkStart w:id="1096" w:name="_Toc15552"/>
      <w:bookmarkStart w:id="1097" w:name="_Toc13033"/>
      <w:bookmarkStart w:id="1098" w:name="_Toc1970"/>
      <w:r>
        <w:rPr>
          <w:rFonts w:hint="eastAsia" w:ascii="仿宋" w:hAnsi="仿宋" w:eastAsia="仿宋" w:cs="仿宋"/>
          <w:b/>
          <w:bCs/>
          <w:color w:val="000000" w:themeColor="text1"/>
          <w14:textFill>
            <w14:solidFill>
              <w14:schemeClr w14:val="tx1"/>
            </w14:solidFill>
          </w14:textFill>
        </w:rPr>
        <w:t>3验收条件</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14:paraId="7E5A9273">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43DCF6CE">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买卖双方按照合同约定执行了合同，同时货物完成了试运行并经检验合格，则具备验收条件。</w:t>
      </w:r>
    </w:p>
    <w:p w14:paraId="438D28D3">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1099" w:name="_Toc9015"/>
      <w:bookmarkStart w:id="1100" w:name="_Toc22247"/>
      <w:bookmarkStart w:id="1101" w:name="_Toc32498"/>
      <w:bookmarkStart w:id="1102" w:name="_Toc6977"/>
      <w:bookmarkStart w:id="1103" w:name="_Toc24921"/>
      <w:bookmarkStart w:id="1104" w:name="_Toc31639"/>
      <w:bookmarkStart w:id="1105" w:name="_Toc18903"/>
      <w:bookmarkStart w:id="1106" w:name="_Toc7303"/>
      <w:bookmarkStart w:id="1107" w:name="_Toc11902"/>
      <w:bookmarkStart w:id="1108" w:name="_Toc11234"/>
      <w:bookmarkStart w:id="1109" w:name="_Toc30563"/>
      <w:bookmarkStart w:id="1110" w:name="_Toc23548"/>
      <w:bookmarkStart w:id="1111" w:name="_Toc24814"/>
      <w:bookmarkStart w:id="1112" w:name="_Toc21811"/>
      <w:bookmarkStart w:id="1113" w:name="_Toc5473"/>
      <w:bookmarkStart w:id="1114" w:name="_Toc20504"/>
      <w:bookmarkStart w:id="1115" w:name="_Toc11412"/>
      <w:bookmarkStart w:id="1116" w:name="_Toc16622"/>
      <w:bookmarkStart w:id="1117" w:name="_Toc5952"/>
      <w:bookmarkStart w:id="1118" w:name="_Toc10052"/>
      <w:bookmarkStart w:id="1119" w:name="_Toc17709"/>
      <w:bookmarkStart w:id="1120" w:name="_Toc25547"/>
      <w:bookmarkStart w:id="1121" w:name="_Toc10586"/>
      <w:bookmarkStart w:id="1122" w:name="_Toc6731"/>
      <w:bookmarkStart w:id="1123" w:name="_Toc1849"/>
      <w:bookmarkStart w:id="1124" w:name="_Toc20087"/>
      <w:bookmarkStart w:id="1125" w:name="_Toc771"/>
      <w:bookmarkStart w:id="1126" w:name="_Toc3034"/>
      <w:bookmarkStart w:id="1127" w:name="_Toc19344"/>
      <w:bookmarkStart w:id="1128" w:name="_Toc4741"/>
      <w:bookmarkStart w:id="1129" w:name="_Toc18487"/>
      <w:bookmarkStart w:id="1130" w:name="_Toc27856"/>
      <w:bookmarkStart w:id="1131" w:name="_Toc23170"/>
      <w:bookmarkStart w:id="1132" w:name="_Toc362"/>
      <w:bookmarkStart w:id="1133" w:name="_Toc16974"/>
      <w:bookmarkStart w:id="1134" w:name="_Toc27848"/>
      <w:bookmarkStart w:id="1135" w:name="_Toc24377"/>
      <w:bookmarkStart w:id="1136" w:name="_Toc4157"/>
      <w:bookmarkStart w:id="1137" w:name="_Toc18963"/>
      <w:bookmarkStart w:id="1138" w:name="_Toc31328"/>
      <w:bookmarkStart w:id="1139" w:name="_Toc10389"/>
      <w:r>
        <w:rPr>
          <w:rFonts w:hint="eastAsia" w:ascii="仿宋" w:hAnsi="仿宋" w:eastAsia="仿宋" w:cs="仿宋"/>
          <w:color w:val="000000" w:themeColor="text1"/>
          <w14:textFill>
            <w14:solidFill>
              <w14:schemeClr w14:val="tx1"/>
            </w14:solidFill>
          </w14:textFill>
        </w:rPr>
        <w:t>3.1预验收一般条件</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44B8E45F">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3.1.1投标方已经按照“供货范围”要求提供了预验收资料，并且资料齐全、完整和有效。</w:t>
      </w:r>
    </w:p>
    <w:p w14:paraId="74B1D4E8">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3.1.2货物应运行稳定、可靠、安全，无非正常变形，非正常振动，无异常声音；无漏水、漏液、漏气（汽）、漏电等现象。运动的零部件（如链条、联轴器、离合器、主轴、工作台等）动作平稳、灵活运动准确。</w:t>
      </w:r>
    </w:p>
    <w:p w14:paraId="4033BDA3">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3.1.3货物应完整且所有的零部件应该安装安全、牢固，外观无损伤，所有的焊缝饱满、无残渣等缺陷。</w:t>
      </w:r>
    </w:p>
    <w:p w14:paraId="7D5B6532">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3.1.4一般情况下，所有的管路和线缆等，接头应完全正确、可靠地联接；应排列有序（正确、牢固、整齐），有必要的防护，无皱褶、收缩和裂缝等不良现象。</w:t>
      </w:r>
    </w:p>
    <w:p w14:paraId="6417222B">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3.1.5货物的润滑系统工作正常、可靠，润滑点易于到达。</w:t>
      </w:r>
    </w:p>
    <w:p w14:paraId="711E4176">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3.1.6使用的压力容器、电气等应具备合格证（如果有压力容器），</w:t>
      </w:r>
    </w:p>
    <w:p w14:paraId="4ACCA651">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3.1.7货物的油漆质量应饱满、有光泽，无掉漆、无色差、无“桔皮”等不良现象（特殊标志除外）。</w:t>
      </w:r>
    </w:p>
    <w:p w14:paraId="383133EE">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3.1.8货物标牌完整、清晰、明确。</w:t>
      </w:r>
    </w:p>
    <w:p w14:paraId="14EAB045">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3.1.9地线联接和地极符合国际（ISO/IEC）标准规范。</w:t>
      </w:r>
    </w:p>
    <w:p w14:paraId="6A14D939">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3.1.10货物的安全要求符合中国最新的相关法律、法规、标准和规范以及合同要求。</w:t>
      </w:r>
    </w:p>
    <w:p w14:paraId="1331E6B6">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1140" w:name="_Toc2362"/>
      <w:bookmarkStart w:id="1141" w:name="_Toc4643"/>
      <w:bookmarkStart w:id="1142" w:name="_Toc11537"/>
      <w:bookmarkStart w:id="1143" w:name="_Toc21671"/>
      <w:bookmarkStart w:id="1144" w:name="_Toc931"/>
      <w:bookmarkStart w:id="1145" w:name="_Toc17491"/>
      <w:bookmarkStart w:id="1146" w:name="_Toc14552"/>
      <w:bookmarkStart w:id="1147" w:name="_Toc1293"/>
      <w:bookmarkStart w:id="1148" w:name="_Toc16821"/>
      <w:bookmarkStart w:id="1149" w:name="_Toc17523"/>
      <w:bookmarkStart w:id="1150" w:name="_Toc22891"/>
      <w:bookmarkStart w:id="1151" w:name="_Toc8320"/>
      <w:bookmarkStart w:id="1152" w:name="_Toc8879"/>
      <w:bookmarkStart w:id="1153" w:name="_Toc12987"/>
      <w:bookmarkStart w:id="1154" w:name="_Toc24950"/>
      <w:bookmarkStart w:id="1155" w:name="_Toc27491"/>
      <w:bookmarkStart w:id="1156" w:name="_Toc2134"/>
      <w:bookmarkStart w:id="1157" w:name="_Toc17924"/>
      <w:bookmarkStart w:id="1158" w:name="_Toc21953"/>
      <w:bookmarkStart w:id="1159" w:name="_Toc19728"/>
      <w:bookmarkStart w:id="1160" w:name="_Toc30498"/>
      <w:bookmarkStart w:id="1161" w:name="_Toc20374"/>
      <w:bookmarkStart w:id="1162" w:name="_Toc7060"/>
      <w:bookmarkStart w:id="1163" w:name="_Toc9105"/>
      <w:bookmarkStart w:id="1164" w:name="_Toc19887"/>
      <w:bookmarkStart w:id="1165" w:name="_Toc28390"/>
      <w:bookmarkStart w:id="1166" w:name="_Toc15751"/>
      <w:bookmarkStart w:id="1167" w:name="_Toc24874"/>
      <w:bookmarkStart w:id="1168" w:name="_Toc18823"/>
      <w:bookmarkStart w:id="1169" w:name="_Toc29661"/>
      <w:bookmarkStart w:id="1170" w:name="_Toc21629"/>
      <w:bookmarkStart w:id="1171" w:name="_Toc29327"/>
      <w:bookmarkStart w:id="1172" w:name="_Toc8938"/>
      <w:bookmarkStart w:id="1173" w:name="_Toc5422"/>
      <w:bookmarkStart w:id="1174" w:name="_Toc3329"/>
      <w:bookmarkStart w:id="1175" w:name="_Toc12439"/>
      <w:bookmarkStart w:id="1176" w:name="_Toc26496"/>
      <w:bookmarkStart w:id="1177" w:name="_Toc6062"/>
      <w:bookmarkStart w:id="1178" w:name="_Toc4108"/>
      <w:bookmarkStart w:id="1179" w:name="_Toc4066"/>
      <w:bookmarkStart w:id="1180" w:name="_Toc23596"/>
      <w:r>
        <w:rPr>
          <w:rFonts w:hint="eastAsia" w:ascii="仿宋" w:hAnsi="仿宋" w:eastAsia="仿宋" w:cs="仿宋"/>
          <w:color w:val="000000" w:themeColor="text1"/>
          <w14:textFill>
            <w14:solidFill>
              <w14:schemeClr w14:val="tx1"/>
            </w14:solidFill>
          </w14:textFill>
        </w:rPr>
        <w:t>3.2终验收一般条件</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14:paraId="48205C42">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3.2.1经过预验收而且没有出现新的质量问题，或者满足预验收条款。</w:t>
      </w:r>
    </w:p>
    <w:p w14:paraId="718B3D65">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3.2.2货物安装调试完毕，并至少经过了验收要求的负荷试运行。</w:t>
      </w:r>
    </w:p>
    <w:p w14:paraId="29DC748B">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3.2.3货物正常运行时，噪声等环境影响因素满足国家（《工作场所物理因素测量 噪声》GBZ/T 189.8-2007. 噪音≤</w:t>
      </w:r>
      <w:r>
        <w:rPr>
          <w:rFonts w:hint="eastAsia" w:ascii="仿宋" w:hAnsi="仿宋" w:eastAsia="仿宋" w:cs="仿宋"/>
          <w:color w:val="000000" w:themeColor="text1"/>
          <w:lang w:val="en-US" w:eastAsia="zh-CN"/>
          <w14:textFill>
            <w14:solidFill>
              <w14:schemeClr w14:val="tx1"/>
            </w14:solidFill>
          </w14:textFill>
        </w:rPr>
        <w:t>8</w:t>
      </w:r>
      <w:r>
        <w:rPr>
          <w:rFonts w:hint="eastAsia" w:ascii="仿宋" w:hAnsi="仿宋" w:eastAsia="仿宋" w:cs="仿宋"/>
          <w:color w:val="000000" w:themeColor="text1"/>
          <w14:textFill>
            <w14:solidFill>
              <w14:schemeClr w14:val="tx1"/>
            </w14:solidFill>
          </w14:textFill>
        </w:rPr>
        <w:t>0dB(A)）和当地环保主管部门规定。投标方需提供由第三方检测机构出具的检测报告 ，检测事宜及费用由投标方负责，招标方负责相关配合协调工作。</w:t>
      </w:r>
    </w:p>
    <w:p w14:paraId="34AE29F4">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3.2.4计量仪器、仪表配套合理，采用中国的法定计量单位，计量准确、灵敏可靠。保证设计指标和仪器说明书的参数的实现。</w:t>
      </w:r>
    </w:p>
    <w:p w14:paraId="4B19C495">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3.2.5试运行期间或之后无维修、调整等行为（特殊情况除外）。</w:t>
      </w:r>
    </w:p>
    <w:p w14:paraId="264AB137">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3.2.6货物质量、技术性能等，达到签定的技术协议书和合同规定的终验收标准。</w:t>
      </w:r>
    </w:p>
    <w:p w14:paraId="045BB63B">
      <w:pPr>
        <w:snapToGrid w:val="0"/>
        <w:spacing w:line="360" w:lineRule="auto"/>
        <w:ind w:left="482"/>
        <w:outlineLvl w:val="1"/>
        <w:rPr>
          <w:rFonts w:ascii="仿宋" w:hAnsi="仿宋" w:eastAsia="仿宋" w:cs="仿宋"/>
          <w:b/>
          <w:bCs/>
          <w:color w:val="000000" w:themeColor="text1"/>
          <w14:textFill>
            <w14:solidFill>
              <w14:schemeClr w14:val="tx1"/>
            </w14:solidFill>
          </w14:textFill>
        </w:rPr>
      </w:pPr>
      <w:bookmarkStart w:id="1181" w:name="_Toc73112424"/>
      <w:bookmarkStart w:id="1182" w:name="_Toc11114"/>
      <w:bookmarkStart w:id="1183" w:name="_Toc28499"/>
      <w:bookmarkStart w:id="1184" w:name="_Toc32661"/>
      <w:bookmarkStart w:id="1185" w:name="_Toc22500"/>
      <w:bookmarkStart w:id="1186" w:name="_Toc193"/>
      <w:bookmarkStart w:id="1187" w:name="_Toc1804"/>
      <w:bookmarkStart w:id="1188" w:name="_Toc9027"/>
      <w:bookmarkStart w:id="1189" w:name="_Toc551"/>
      <w:bookmarkStart w:id="1190" w:name="_Toc1469"/>
      <w:bookmarkStart w:id="1191" w:name="_Toc6573"/>
      <w:bookmarkStart w:id="1192" w:name="_Toc1761"/>
      <w:bookmarkStart w:id="1193" w:name="_Toc21504"/>
      <w:bookmarkStart w:id="1194" w:name="_Toc1961"/>
      <w:bookmarkStart w:id="1195" w:name="_Toc25411"/>
      <w:bookmarkStart w:id="1196" w:name="_Toc26083"/>
      <w:bookmarkStart w:id="1197" w:name="_Toc22915"/>
      <w:bookmarkStart w:id="1198" w:name="_Toc10673"/>
      <w:bookmarkStart w:id="1199" w:name="_Toc20983"/>
      <w:bookmarkStart w:id="1200" w:name="_Toc17549"/>
      <w:bookmarkStart w:id="1201" w:name="_Toc1885"/>
      <w:bookmarkStart w:id="1202" w:name="_Toc17223"/>
      <w:bookmarkStart w:id="1203" w:name="_Toc7243"/>
      <w:bookmarkStart w:id="1204" w:name="_Toc21291"/>
      <w:r>
        <w:rPr>
          <w:rFonts w:hint="eastAsia" w:ascii="仿宋" w:hAnsi="仿宋" w:eastAsia="仿宋" w:cs="仿宋"/>
          <w:b/>
          <w:bCs/>
          <w:color w:val="000000" w:themeColor="text1"/>
          <w14:textFill>
            <w14:solidFill>
              <w14:schemeClr w14:val="tx1"/>
            </w14:solidFill>
          </w14:textFill>
        </w:rPr>
        <w:t>4终验收基本要求</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14:paraId="6B7944C3">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4.1货物允许情况下，一般先连续空运转</w:t>
      </w:r>
      <w:r>
        <w:rPr>
          <w:rFonts w:hint="eastAsia" w:ascii="仿宋" w:hAnsi="仿宋" w:eastAsia="仿宋" w:cs="仿宋"/>
          <w:color w:val="000000" w:themeColor="text1"/>
          <w:u w:val="single"/>
          <w:shd w:val="pct10" w:color="auto" w:fill="FFFFFF"/>
          <w14:textFill>
            <w14:solidFill>
              <w14:schemeClr w14:val="tx1"/>
            </w14:solidFill>
          </w14:textFill>
        </w:rPr>
        <w:t>8</w:t>
      </w:r>
      <w:r>
        <w:rPr>
          <w:rFonts w:hint="eastAsia" w:ascii="仿宋" w:hAnsi="仿宋" w:eastAsia="仿宋" w:cs="仿宋"/>
          <w:color w:val="000000" w:themeColor="text1"/>
          <w14:textFill>
            <w14:solidFill>
              <w14:schemeClr w14:val="tx1"/>
            </w14:solidFill>
          </w14:textFill>
        </w:rPr>
        <w:t>小时，然后再进行负荷运行。</w:t>
      </w:r>
    </w:p>
    <w:p w14:paraId="7A725C71">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4.2负荷运行时，货物应连续运行</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u w:val="single"/>
          <w:shd w:val="pct10" w:color="auto" w:fill="FFFFFF"/>
          <w14:textFill>
            <w14:solidFill>
              <w14:schemeClr w14:val="tx1"/>
            </w14:solidFill>
          </w14:textFill>
        </w:rPr>
        <w:t>15</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天，每天连续</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u w:val="single"/>
          <w:shd w:val="pct10" w:color="auto" w:fill="FFFFFF"/>
          <w14:textFill>
            <w14:solidFill>
              <w14:schemeClr w14:val="tx1"/>
            </w14:solidFill>
          </w14:textFill>
        </w:rPr>
        <w:t xml:space="preserve">8 </w:t>
      </w:r>
      <w:r>
        <w:rPr>
          <w:rFonts w:hint="eastAsia" w:ascii="仿宋" w:hAnsi="仿宋" w:eastAsia="仿宋" w:cs="仿宋"/>
          <w:color w:val="000000" w:themeColor="text1"/>
          <w14:textFill>
            <w14:solidFill>
              <w14:schemeClr w14:val="tx1"/>
            </w14:solidFill>
          </w14:textFill>
        </w:rPr>
        <w:t>小时，除用户方面因素外，必须达到以下要求：</w:t>
      </w:r>
    </w:p>
    <w:p w14:paraId="21D1E085">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4.2.1在整个验收过程中没有维修、更换零部件或元件行为；</w:t>
      </w:r>
    </w:p>
    <w:p w14:paraId="06CAA638">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4.2.2所有出现的调整，每次调整时间均不超过</w:t>
      </w:r>
      <w:r>
        <w:rPr>
          <w:rFonts w:hint="eastAsia" w:ascii="仿宋" w:hAnsi="仿宋" w:eastAsia="仿宋" w:cs="仿宋"/>
          <w:color w:val="000000" w:themeColor="text1"/>
          <w:u w:val="single"/>
          <w:shd w:val="pct10" w:color="auto" w:fill="FFFFFF"/>
          <w14:textFill>
            <w14:solidFill>
              <w14:schemeClr w14:val="tx1"/>
            </w14:solidFill>
          </w14:textFill>
        </w:rPr>
        <w:t>120</w:t>
      </w:r>
      <w:r>
        <w:rPr>
          <w:rFonts w:hint="eastAsia" w:ascii="仿宋" w:hAnsi="仿宋" w:eastAsia="仿宋" w:cs="仿宋"/>
          <w:color w:val="000000" w:themeColor="text1"/>
          <w14:textFill>
            <w14:solidFill>
              <w14:schemeClr w14:val="tx1"/>
            </w14:solidFill>
          </w14:textFill>
        </w:rPr>
        <w:t>分钟；</w:t>
      </w:r>
    </w:p>
    <w:p w14:paraId="73718DE8">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4.2.3所有调整时间的总和不超过总运行时间的</w:t>
      </w:r>
      <w:r>
        <w:rPr>
          <w:rFonts w:hint="eastAsia" w:ascii="仿宋" w:hAnsi="仿宋" w:eastAsia="仿宋" w:cs="仿宋"/>
          <w:color w:val="000000" w:themeColor="text1"/>
          <w:u w:val="single"/>
          <w:shd w:val="pct10" w:color="auto" w:fill="FFFFFF"/>
          <w14:textFill>
            <w14:solidFill>
              <w14:schemeClr w14:val="tx1"/>
            </w14:solidFill>
          </w14:textFill>
        </w:rPr>
        <w:t>20</w:t>
      </w:r>
      <w:r>
        <w:rPr>
          <w:rFonts w:hint="eastAsia" w:ascii="仿宋" w:hAnsi="仿宋" w:eastAsia="仿宋" w:cs="仿宋"/>
          <w:color w:val="000000" w:themeColor="text1"/>
          <w14:textFill>
            <w14:solidFill>
              <w14:schemeClr w14:val="tx1"/>
            </w14:solidFill>
          </w14:textFill>
        </w:rPr>
        <w:t>%；</w:t>
      </w:r>
    </w:p>
    <w:p w14:paraId="120FB31E">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4.2.4累计负载运行实际性能（或生产率）达到合同规定；（节拍超出标书规定在20%以内，罚款额为货物总价的10%；超过20%以上，视为供货方违约，招标方有权解除合同，由此造成的损失由投标方承担）。</w:t>
      </w:r>
    </w:p>
    <w:p w14:paraId="59317E99">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1205" w:name="_Toc133783975"/>
      <w:r>
        <w:rPr>
          <w:rFonts w:hint="eastAsia" w:ascii="仿宋" w:hAnsi="仿宋" w:eastAsia="仿宋" w:cs="仿宋"/>
          <w:color w:val="000000" w:themeColor="text1"/>
          <w14:textFill>
            <w14:solidFill>
              <w14:schemeClr w14:val="tx1"/>
            </w14:solidFill>
          </w14:textFill>
        </w:rPr>
        <w:t>4.2.5 设备满足现场使用要求，符合技术要求。</w:t>
      </w:r>
    </w:p>
    <w:p w14:paraId="0C778DDB">
      <w:pPr>
        <w:adjustRightInd w:val="0"/>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4.2.6 终验收以招标方单位《新增设备安装竣工验收转资单》签署单为最终验收证明，同时移交、核对全部供货范围内物品。</w:t>
      </w:r>
    </w:p>
    <w:p w14:paraId="0DBCF4B6">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7AAD0EFF">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1206" w:name="_Toc19911"/>
      <w:bookmarkStart w:id="1207" w:name="_Toc23397"/>
      <w:bookmarkStart w:id="1208" w:name="_Toc8435"/>
      <w:bookmarkStart w:id="1209" w:name="_Toc2957"/>
      <w:bookmarkStart w:id="1210" w:name="_Toc28594"/>
      <w:bookmarkStart w:id="1211" w:name="_Toc32074"/>
      <w:bookmarkStart w:id="1212" w:name="_Toc30656"/>
      <w:bookmarkStart w:id="1213" w:name="_Toc30219"/>
      <w:bookmarkStart w:id="1214" w:name="_Toc29322"/>
      <w:bookmarkStart w:id="1215" w:name="_Toc8015"/>
      <w:bookmarkStart w:id="1216" w:name="_Toc18146"/>
      <w:bookmarkStart w:id="1217" w:name="_Toc1228"/>
      <w:bookmarkStart w:id="1218" w:name="_Toc1673"/>
      <w:bookmarkStart w:id="1219" w:name="_Toc1195"/>
      <w:bookmarkStart w:id="1220" w:name="_Toc26248"/>
      <w:bookmarkStart w:id="1221" w:name="_Toc2249"/>
      <w:bookmarkStart w:id="1222" w:name="_Toc7458"/>
      <w:bookmarkStart w:id="1223" w:name="_Toc1705"/>
      <w:bookmarkStart w:id="1224" w:name="_Toc31042"/>
      <w:bookmarkStart w:id="1225" w:name="_Toc23616"/>
      <w:bookmarkStart w:id="1226" w:name="_Toc22179"/>
      <w:bookmarkStart w:id="1227" w:name="_Toc24925"/>
      <w:bookmarkStart w:id="1228" w:name="_Toc14217"/>
      <w:bookmarkStart w:id="1229" w:name="_Toc23268"/>
      <w:bookmarkStart w:id="1230" w:name="_Toc25401"/>
      <w:bookmarkStart w:id="1231" w:name="_Toc10830"/>
      <w:bookmarkStart w:id="1232" w:name="_Toc27346"/>
      <w:bookmarkStart w:id="1233" w:name="_Toc15914"/>
      <w:bookmarkStart w:id="1234" w:name="_Toc17110"/>
      <w:bookmarkStart w:id="1235" w:name="_Toc22488"/>
      <w:bookmarkStart w:id="1236" w:name="_Toc18510"/>
      <w:bookmarkStart w:id="1237" w:name="_Toc28136"/>
      <w:bookmarkStart w:id="1238" w:name="_Toc15351"/>
      <w:bookmarkStart w:id="1239" w:name="_Toc25348"/>
      <w:bookmarkStart w:id="1240" w:name="_Toc2612"/>
      <w:bookmarkStart w:id="1241" w:name="_Toc20836"/>
      <w:bookmarkStart w:id="1242" w:name="_Toc663"/>
      <w:bookmarkStart w:id="1243" w:name="_Toc32696"/>
      <w:bookmarkStart w:id="1244" w:name="_Toc1683"/>
      <w:bookmarkStart w:id="1245" w:name="_Toc30125"/>
      <w:bookmarkStart w:id="1246" w:name="_Toc12636"/>
      <w:bookmarkStart w:id="1247" w:name="_Toc73112425"/>
      <w:bookmarkStart w:id="1248" w:name="_Toc4953"/>
      <w:bookmarkStart w:id="1249" w:name="_Toc27525"/>
      <w:bookmarkStart w:id="1250" w:name="_Toc30187"/>
      <w:bookmarkStart w:id="1251" w:name="_Toc14133"/>
      <w:r>
        <w:rPr>
          <w:rFonts w:hint="eastAsia" w:ascii="仿宋" w:hAnsi="仿宋" w:eastAsia="仿宋" w:cs="仿宋"/>
          <w:b/>
          <w:bCs/>
          <w:color w:val="000000" w:themeColor="text1"/>
          <w14:textFill>
            <w14:solidFill>
              <w14:schemeClr w14:val="tx1"/>
            </w14:solidFill>
          </w14:textFill>
        </w:rPr>
        <w:t>第六章投标技术文件一般要求</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14:paraId="0189E211">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1投标方应认真阅读招标文件和本技术标书，并按要求编写投标技术文件。</w:t>
      </w:r>
    </w:p>
    <w:p w14:paraId="2035B87D">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2投标技术文件至少应对投标货物的“技术偏离”、“商务偏离”作出有无说明；若有，应予以详细填写和说明。</w:t>
      </w:r>
    </w:p>
    <w:p w14:paraId="77EDD5F2">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3投标技术文件至少应对投标货物的功能用途、技术性能、质量标准、技术参数等作出详细说明。</w:t>
      </w:r>
    </w:p>
    <w:p w14:paraId="0D8CACE0">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4投标技术文件至少应根据投标货物的关键设备、总成、零部件或系统作出优越性说明。</w:t>
      </w:r>
    </w:p>
    <w:p w14:paraId="28ED013D">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5投标技术文件至少应根据投标货物的配置，按照备品备件、易损件和专用耗材明细表要求以及投标货物主要配置一览表要求（见下表），认真全面填写。</w:t>
      </w:r>
    </w:p>
    <w:p w14:paraId="6AF7B192">
      <w:pPr>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投标货物主要配置一览表单位：元</w:t>
      </w:r>
    </w:p>
    <w:tbl>
      <w:tblPr>
        <w:tblStyle w:val="30"/>
        <w:tblpPr w:leftFromText="180" w:rightFromText="180" w:vertAnchor="text" w:tblpXSpec="center" w:tblpY="1"/>
        <w:tblOverlap w:val="never"/>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940"/>
        <w:gridCol w:w="697"/>
        <w:gridCol w:w="697"/>
        <w:gridCol w:w="697"/>
        <w:gridCol w:w="697"/>
        <w:gridCol w:w="1665"/>
      </w:tblGrid>
      <w:tr w14:paraId="7383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1460E07B">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名称</w:t>
            </w:r>
          </w:p>
        </w:tc>
        <w:tc>
          <w:tcPr>
            <w:tcW w:w="1940" w:type="dxa"/>
          </w:tcPr>
          <w:p w14:paraId="436B3075">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型号规格</w:t>
            </w:r>
          </w:p>
        </w:tc>
        <w:tc>
          <w:tcPr>
            <w:tcW w:w="697" w:type="dxa"/>
          </w:tcPr>
          <w:p w14:paraId="6732DDD7">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单位</w:t>
            </w:r>
          </w:p>
        </w:tc>
        <w:tc>
          <w:tcPr>
            <w:tcW w:w="697" w:type="dxa"/>
          </w:tcPr>
          <w:p w14:paraId="35A9A5C7">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数量</w:t>
            </w:r>
          </w:p>
        </w:tc>
        <w:tc>
          <w:tcPr>
            <w:tcW w:w="697" w:type="dxa"/>
          </w:tcPr>
          <w:p w14:paraId="3717E51E">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单价</w:t>
            </w:r>
          </w:p>
        </w:tc>
        <w:tc>
          <w:tcPr>
            <w:tcW w:w="697" w:type="dxa"/>
          </w:tcPr>
          <w:p w14:paraId="31463F5F">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总价</w:t>
            </w:r>
          </w:p>
        </w:tc>
        <w:tc>
          <w:tcPr>
            <w:tcW w:w="1665" w:type="dxa"/>
          </w:tcPr>
          <w:p w14:paraId="3D08B044">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制造商</w:t>
            </w:r>
          </w:p>
        </w:tc>
      </w:tr>
      <w:tr w14:paraId="6F26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6C10E5C7">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940" w:type="dxa"/>
          </w:tcPr>
          <w:p w14:paraId="15CF8F04">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4AA225F3">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15786711">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2D0780DF">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45C18B47">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665" w:type="dxa"/>
          </w:tcPr>
          <w:p w14:paraId="4860C414">
            <w:pPr>
              <w:adjustRightInd w:val="0"/>
              <w:snapToGrid w:val="0"/>
              <w:spacing w:line="360" w:lineRule="auto"/>
              <w:rPr>
                <w:rFonts w:ascii="仿宋" w:hAnsi="仿宋" w:eastAsia="仿宋" w:cs="仿宋"/>
                <w:color w:val="000000" w:themeColor="text1"/>
                <w14:textFill>
                  <w14:solidFill>
                    <w14:schemeClr w14:val="tx1"/>
                  </w14:solidFill>
                </w14:textFill>
              </w:rPr>
            </w:pPr>
          </w:p>
        </w:tc>
      </w:tr>
      <w:tr w14:paraId="5E41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29312CF9">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940" w:type="dxa"/>
          </w:tcPr>
          <w:p w14:paraId="6D0CA77C">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41E1FF3E">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65995065">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46724030">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2A104BB7">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665" w:type="dxa"/>
          </w:tcPr>
          <w:p w14:paraId="20C33296">
            <w:pPr>
              <w:adjustRightInd w:val="0"/>
              <w:snapToGrid w:val="0"/>
              <w:spacing w:line="360" w:lineRule="auto"/>
              <w:rPr>
                <w:rFonts w:ascii="仿宋" w:hAnsi="仿宋" w:eastAsia="仿宋" w:cs="仿宋"/>
                <w:color w:val="000000" w:themeColor="text1"/>
                <w14:textFill>
                  <w14:solidFill>
                    <w14:schemeClr w14:val="tx1"/>
                  </w14:solidFill>
                </w14:textFill>
              </w:rPr>
            </w:pPr>
          </w:p>
        </w:tc>
      </w:tr>
      <w:tr w14:paraId="402F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77EC24F5">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940" w:type="dxa"/>
          </w:tcPr>
          <w:p w14:paraId="74EFFC18">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29A8A72D">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30730417">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52564225">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14:paraId="1BB2835C">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665" w:type="dxa"/>
          </w:tcPr>
          <w:p w14:paraId="3D241CA3">
            <w:pPr>
              <w:adjustRightInd w:val="0"/>
              <w:snapToGrid w:val="0"/>
              <w:spacing w:line="360" w:lineRule="auto"/>
              <w:rPr>
                <w:rFonts w:ascii="仿宋" w:hAnsi="仿宋" w:eastAsia="仿宋" w:cs="仿宋"/>
                <w:color w:val="000000" w:themeColor="text1"/>
                <w14:textFill>
                  <w14:solidFill>
                    <w14:schemeClr w14:val="tx1"/>
                  </w14:solidFill>
                </w14:textFill>
              </w:rPr>
            </w:pPr>
          </w:p>
        </w:tc>
      </w:tr>
    </w:tbl>
    <w:p w14:paraId="75649BBC">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备注：本表作为投标方编制投标技术文件的一般格式。表中应当尽可能将配置列全、列细，这将有助于投标方胜出。</w:t>
      </w:r>
    </w:p>
    <w:p w14:paraId="1844AC88">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6投标技术文件至少应对招标文件和本技术标书所提出的要求，将投标方认为难以满足的条款和要求，予以明确和详细的说明或澄清。</w:t>
      </w:r>
    </w:p>
    <w:p w14:paraId="645E3D32">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34C91E75">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8供货范围内的物品或服务，应当尽可能详细且分类填入配置表，其费用应当计入投标总报价之内。如果出现不一致的报价，将有可能导致废标。</w:t>
      </w:r>
    </w:p>
    <w:p w14:paraId="01A09C5D">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9除招标文件明确的验收标准或内容之外，投标方应当在投标文件中提供预验收（必要时）和终验收的标准以及规程，在合同签定之前，经投标方和招标方双方洽谈确认并签署，以作为验收标准执行。</w:t>
      </w:r>
    </w:p>
    <w:p w14:paraId="4B2001A4">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10带 ★ 号条款为否定项条款。</w:t>
      </w:r>
      <w:bookmarkStart w:id="1252" w:name="_Toc133783976"/>
    </w:p>
    <w:p w14:paraId="7222A216">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1253" w:name="_Toc13350"/>
      <w:bookmarkStart w:id="1254" w:name="_Toc19043"/>
      <w:bookmarkStart w:id="1255" w:name="_Toc10484"/>
      <w:bookmarkStart w:id="1256" w:name="_Toc19821"/>
      <w:bookmarkStart w:id="1257" w:name="_Toc13666"/>
      <w:bookmarkStart w:id="1258" w:name="_Toc17463"/>
      <w:bookmarkStart w:id="1259" w:name="_Toc26481"/>
      <w:bookmarkStart w:id="1260" w:name="_Toc7423"/>
      <w:bookmarkStart w:id="1261" w:name="_Toc15684"/>
      <w:bookmarkStart w:id="1262" w:name="_Toc3256"/>
      <w:bookmarkStart w:id="1263" w:name="_Toc7541"/>
      <w:bookmarkStart w:id="1264" w:name="_Toc5380"/>
      <w:bookmarkStart w:id="1265" w:name="_Toc24401"/>
      <w:bookmarkStart w:id="1266" w:name="_Toc26559"/>
      <w:bookmarkStart w:id="1267" w:name="_Toc1126"/>
      <w:bookmarkStart w:id="1268" w:name="_Toc11155"/>
      <w:bookmarkStart w:id="1269" w:name="_Toc31830"/>
      <w:bookmarkStart w:id="1270" w:name="_Toc10081"/>
      <w:bookmarkStart w:id="1271" w:name="_Toc623"/>
      <w:bookmarkStart w:id="1272" w:name="_Toc73112426"/>
      <w:bookmarkStart w:id="1273" w:name="_Toc5153"/>
      <w:bookmarkStart w:id="1274" w:name="_Toc16301"/>
      <w:bookmarkStart w:id="1275" w:name="_Toc11416"/>
      <w:bookmarkStart w:id="1276" w:name="_Toc2151"/>
      <w:bookmarkStart w:id="1277" w:name="_Toc2783"/>
      <w:bookmarkStart w:id="1278" w:name="_Toc4040"/>
      <w:bookmarkStart w:id="1279" w:name="_Toc4563"/>
      <w:bookmarkStart w:id="1280" w:name="_Toc9954"/>
      <w:bookmarkStart w:id="1281" w:name="_Toc17045"/>
      <w:bookmarkStart w:id="1282" w:name="_Toc17174"/>
      <w:bookmarkStart w:id="1283" w:name="_Toc29369"/>
      <w:bookmarkStart w:id="1284" w:name="_Toc29655"/>
      <w:bookmarkStart w:id="1285" w:name="_Toc2177"/>
      <w:bookmarkStart w:id="1286" w:name="_Toc22743"/>
      <w:bookmarkStart w:id="1287" w:name="_Toc15645"/>
      <w:bookmarkStart w:id="1288" w:name="_Toc25344"/>
      <w:bookmarkStart w:id="1289" w:name="_Toc19444"/>
      <w:bookmarkStart w:id="1290" w:name="_Toc919"/>
      <w:bookmarkStart w:id="1291" w:name="_Toc25823"/>
      <w:bookmarkStart w:id="1292" w:name="_Toc19119"/>
      <w:bookmarkStart w:id="1293" w:name="_Toc3744"/>
      <w:bookmarkStart w:id="1294" w:name="_Toc147"/>
      <w:bookmarkStart w:id="1295" w:name="_Toc2341"/>
      <w:bookmarkStart w:id="1296" w:name="_Toc32403"/>
      <w:bookmarkStart w:id="1297" w:name="_Toc23538"/>
      <w:bookmarkStart w:id="1298" w:name="_Toc671"/>
      <w:r>
        <w:rPr>
          <w:rFonts w:hint="eastAsia" w:ascii="仿宋" w:hAnsi="仿宋" w:eastAsia="仿宋" w:cs="仿宋"/>
          <w:b/>
          <w:bCs/>
          <w:color w:val="000000" w:themeColor="text1"/>
          <w14:textFill>
            <w14:solidFill>
              <w14:schemeClr w14:val="tx1"/>
            </w14:solidFill>
          </w14:textFill>
        </w:rPr>
        <w:t>第七章其它要求</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69B753F6">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1299" w:name="_Toc13820"/>
      <w:bookmarkStart w:id="1300" w:name="_Toc27273"/>
      <w:bookmarkStart w:id="1301" w:name="_Toc16614"/>
      <w:bookmarkStart w:id="1302" w:name="_Toc3164"/>
      <w:bookmarkStart w:id="1303" w:name="_Toc17727"/>
      <w:bookmarkStart w:id="1304" w:name="_Toc11058"/>
      <w:bookmarkStart w:id="1305" w:name="_Toc15541"/>
      <w:bookmarkStart w:id="1306" w:name="_Toc2497"/>
      <w:bookmarkStart w:id="1307" w:name="_Toc16829"/>
      <w:bookmarkStart w:id="1308" w:name="_Toc14484"/>
      <w:bookmarkStart w:id="1309" w:name="_Toc73112427"/>
      <w:bookmarkStart w:id="1310" w:name="_Toc14684"/>
      <w:bookmarkStart w:id="1311" w:name="_Toc29679"/>
      <w:bookmarkStart w:id="1312" w:name="_Toc32012"/>
      <w:bookmarkStart w:id="1313" w:name="_Toc16802"/>
      <w:bookmarkStart w:id="1314" w:name="_Toc30535"/>
      <w:bookmarkStart w:id="1315" w:name="_Toc11901"/>
      <w:bookmarkStart w:id="1316" w:name="_Toc17623"/>
      <w:bookmarkStart w:id="1317" w:name="_Toc32544"/>
      <w:bookmarkStart w:id="1318" w:name="_Toc5514"/>
      <w:bookmarkStart w:id="1319" w:name="_Toc17435"/>
      <w:bookmarkStart w:id="1320" w:name="_Toc20262"/>
      <w:bookmarkStart w:id="1321" w:name="_Toc26831"/>
      <w:bookmarkStart w:id="1322" w:name="_Toc17702"/>
      <w:bookmarkStart w:id="1323" w:name="_Toc31105"/>
      <w:bookmarkStart w:id="1324" w:name="_Toc29015"/>
      <w:bookmarkStart w:id="1325" w:name="_Toc24680"/>
      <w:bookmarkStart w:id="1326" w:name="_Toc32525"/>
      <w:bookmarkStart w:id="1327" w:name="_Toc12029"/>
      <w:bookmarkStart w:id="1328" w:name="_Toc24669"/>
      <w:bookmarkStart w:id="1329" w:name="_Toc17357"/>
      <w:bookmarkStart w:id="1330" w:name="_Toc32470"/>
      <w:bookmarkStart w:id="1331" w:name="_Toc15256"/>
      <w:bookmarkStart w:id="1332" w:name="_Toc22430"/>
      <w:bookmarkStart w:id="1333" w:name="_Toc15205"/>
      <w:bookmarkStart w:id="1334" w:name="_Toc25903"/>
      <w:bookmarkStart w:id="1335" w:name="_Toc4997"/>
      <w:bookmarkStart w:id="1336" w:name="_Toc28364"/>
      <w:bookmarkStart w:id="1337" w:name="_Toc24782"/>
      <w:bookmarkStart w:id="1338" w:name="_Toc24181"/>
      <w:bookmarkStart w:id="1339" w:name="_Toc21465"/>
      <w:bookmarkStart w:id="1340" w:name="_Toc22010"/>
      <w:bookmarkStart w:id="1341" w:name="_Toc12406"/>
      <w:bookmarkStart w:id="1342" w:name="_Toc12542"/>
      <w:bookmarkStart w:id="1343" w:name="_Toc18469"/>
      <w:r>
        <w:rPr>
          <w:rFonts w:hint="eastAsia" w:ascii="仿宋" w:hAnsi="仿宋" w:eastAsia="仿宋" w:cs="仿宋"/>
          <w:b/>
          <w:bCs/>
          <w:color w:val="000000" w:themeColor="text1"/>
          <w14:textFill>
            <w14:solidFill>
              <w14:schemeClr w14:val="tx1"/>
            </w14:solidFill>
          </w14:textFill>
        </w:rPr>
        <w:t>1特殊要求</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1D378DA5">
      <w:pPr>
        <w:pStyle w:val="16"/>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为保证本技术标书所列采购货物的质量以及先进性、可靠性、经济性和实用性，要求投标方在投标文件中，至少应具备以下资格证明文件或资料：</w:t>
      </w:r>
    </w:p>
    <w:p w14:paraId="6E7DE7B7">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1.1投标方应是通过有关资格认证的单位，因此应附有有效期内的资格认证证书，如：ISO9001、VDA6.1、QS9000等。</w:t>
      </w:r>
    </w:p>
    <w:p w14:paraId="3B7A5074">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1.2国产设备应附有采购货物（或设备）涉及的由“中国质量认证中心”颁发的《中国国家强制性产品认证证书》（CCC证书）。</w:t>
      </w:r>
    </w:p>
    <w:p w14:paraId="13D4BA89">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14:paraId="38B2DE42">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1.4应附有其它与投标单位、采购货物有关的荣誉证书或资料。</w:t>
      </w:r>
    </w:p>
    <w:p w14:paraId="667706FD">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1.5应附有中国相关国家部委颁发的有效期之内所必需的《生产许可证》。</w:t>
      </w:r>
    </w:p>
    <w:p w14:paraId="0A099CB0">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1.6应附有必要的采购货物（或设备）的相关检验、试验报告，如：《型式试验的检验报告》、《产品鉴定证书》、《新技术成果证书》等。</w:t>
      </w:r>
    </w:p>
    <w:p w14:paraId="152889EB">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1.7投标方必须附有采购货物（或设备）涉及国家规定必须进行的检验、试验报告等。</w:t>
      </w:r>
    </w:p>
    <w:p w14:paraId="0D777671">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525D4B6A">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1344" w:name="_Toc28718"/>
      <w:bookmarkStart w:id="1345" w:name="_Toc335"/>
      <w:bookmarkStart w:id="1346" w:name="_Toc28559"/>
      <w:bookmarkStart w:id="1347" w:name="_Toc73112429"/>
      <w:bookmarkStart w:id="1348" w:name="_Toc26724"/>
      <w:bookmarkStart w:id="1349" w:name="_Toc11255"/>
      <w:bookmarkStart w:id="1350" w:name="_Toc27164"/>
      <w:bookmarkStart w:id="1351" w:name="_Toc4243"/>
      <w:bookmarkStart w:id="1352" w:name="_Toc18674"/>
      <w:bookmarkStart w:id="1353" w:name="_Toc5504"/>
      <w:bookmarkStart w:id="1354" w:name="_Toc25498"/>
      <w:bookmarkStart w:id="1355" w:name="_Toc14956"/>
      <w:bookmarkStart w:id="1356" w:name="_Toc8864"/>
      <w:bookmarkStart w:id="1357" w:name="_Toc22893"/>
      <w:bookmarkStart w:id="1358" w:name="_Toc6242"/>
      <w:bookmarkStart w:id="1359" w:name="_Toc18745"/>
      <w:bookmarkStart w:id="1360" w:name="_Toc28380"/>
      <w:bookmarkStart w:id="1361" w:name="_Toc9442"/>
      <w:bookmarkStart w:id="1362" w:name="_Toc3821"/>
      <w:bookmarkStart w:id="1363" w:name="_Toc24482"/>
      <w:bookmarkStart w:id="1364" w:name="_Toc14052"/>
      <w:bookmarkStart w:id="1365" w:name="_Toc28700"/>
      <w:bookmarkStart w:id="1366" w:name="_Toc25028"/>
      <w:bookmarkStart w:id="1367" w:name="_Toc18370"/>
      <w:bookmarkStart w:id="1368" w:name="_Toc26626"/>
      <w:bookmarkStart w:id="1369" w:name="_Toc1823"/>
      <w:bookmarkStart w:id="1370" w:name="_Toc21942"/>
      <w:bookmarkStart w:id="1371" w:name="_Toc20370"/>
      <w:bookmarkStart w:id="1372" w:name="_Toc28267"/>
      <w:bookmarkStart w:id="1373" w:name="_Toc19315"/>
      <w:bookmarkStart w:id="1374" w:name="_Toc29233"/>
      <w:bookmarkStart w:id="1375" w:name="_Toc3323"/>
      <w:bookmarkStart w:id="1376" w:name="_Toc7398"/>
      <w:bookmarkStart w:id="1377" w:name="_Toc11707"/>
      <w:bookmarkStart w:id="1378" w:name="_Toc24176"/>
      <w:bookmarkStart w:id="1379" w:name="_Toc29954"/>
      <w:bookmarkStart w:id="1380" w:name="_Toc26307"/>
      <w:bookmarkStart w:id="1381" w:name="_Toc16457"/>
      <w:bookmarkStart w:id="1382" w:name="_Toc13528"/>
      <w:bookmarkStart w:id="1383" w:name="_Toc4278"/>
      <w:bookmarkStart w:id="1384" w:name="_Toc22763"/>
      <w:bookmarkStart w:id="1385" w:name="_Toc27894"/>
      <w:bookmarkStart w:id="1386" w:name="_Toc13497"/>
      <w:bookmarkStart w:id="1387" w:name="_Toc20830"/>
      <w:bookmarkStart w:id="1388" w:name="_Toc3658"/>
      <w:r>
        <w:rPr>
          <w:rFonts w:hint="eastAsia" w:ascii="仿宋" w:hAnsi="仿宋" w:eastAsia="仿宋" w:cs="仿宋"/>
          <w:b/>
          <w:bCs/>
          <w:color w:val="000000" w:themeColor="text1"/>
          <w14:textFill>
            <w14:solidFill>
              <w14:schemeClr w14:val="tx1"/>
            </w14:solidFill>
          </w14:textFill>
        </w:rPr>
        <w:t>2说明</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14:paraId="607B53E3">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2.1投标方可以根据自身的技术、经验等优势以及对招标文件和本技术标书的理解，写明对招标方所采购货物的优化方案或建议意见。投标方的这些努力，招标方表示感谢，并将有助于投标方优先胜出。</w:t>
      </w:r>
    </w:p>
    <w:p w14:paraId="4145EFD8">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2.2即使有建议意见或建议方案，仍应依据招标文件和本技术标书要求，编写符合要求的投标文件。建议方案或建议意见，应以单独篇章或文件，予以说明。</w:t>
      </w:r>
    </w:p>
    <w:p w14:paraId="6B877638">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2.3请投标方仔细阅读“采购货物概况”章节内说明，针对允许分投分中的货物，招标方有权利选择其中优秀设备或服务，作为投标方合同供货范围中的指定选用设备或服务（替代投标方分投而未中标部分）。</w:t>
      </w:r>
    </w:p>
    <w:p w14:paraId="4D276D81">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2.4招标文件、投标文件、答疑文件、技术交流文件、技术协议书等，在招标过程全部为有效文件，如有差异，以对招标方或买方最有利的条款为准。</w:t>
      </w:r>
    </w:p>
    <w:p w14:paraId="105393CB">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tbl>
      <w:tblPr>
        <w:tblStyle w:val="3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451"/>
        <w:gridCol w:w="1335"/>
        <w:gridCol w:w="1579"/>
        <w:gridCol w:w="1338"/>
        <w:gridCol w:w="1173"/>
      </w:tblGrid>
      <w:tr w14:paraId="43951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6"/>
          </w:tcPr>
          <w:p w14:paraId="634542F9">
            <w:pPr>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会签栏</w:t>
            </w:r>
          </w:p>
        </w:tc>
      </w:tr>
      <w:tr w14:paraId="2AE1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tcPr>
          <w:p w14:paraId="1FC197DE">
            <w:pPr>
              <w:snapToGrid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单位</w:t>
            </w:r>
          </w:p>
        </w:tc>
        <w:tc>
          <w:tcPr>
            <w:tcW w:w="1451" w:type="dxa"/>
          </w:tcPr>
          <w:p w14:paraId="674679FE">
            <w:pPr>
              <w:snapToGrid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签字</w:t>
            </w:r>
          </w:p>
        </w:tc>
        <w:tc>
          <w:tcPr>
            <w:tcW w:w="1335" w:type="dxa"/>
          </w:tcPr>
          <w:p w14:paraId="46A74CCE">
            <w:pPr>
              <w:snapToGrid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日期</w:t>
            </w:r>
          </w:p>
        </w:tc>
        <w:tc>
          <w:tcPr>
            <w:tcW w:w="1579" w:type="dxa"/>
          </w:tcPr>
          <w:p w14:paraId="0A9D95FC">
            <w:pPr>
              <w:snapToGrid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单位</w:t>
            </w:r>
          </w:p>
        </w:tc>
        <w:tc>
          <w:tcPr>
            <w:tcW w:w="1338" w:type="dxa"/>
          </w:tcPr>
          <w:p w14:paraId="0C5DFFC9">
            <w:pPr>
              <w:snapToGrid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签字</w:t>
            </w:r>
          </w:p>
        </w:tc>
        <w:tc>
          <w:tcPr>
            <w:tcW w:w="1173" w:type="dxa"/>
          </w:tcPr>
          <w:p w14:paraId="3F797436">
            <w:pPr>
              <w:snapToGrid w:val="0"/>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日期</w:t>
            </w:r>
          </w:p>
        </w:tc>
      </w:tr>
      <w:tr w14:paraId="760A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52" w:type="dxa"/>
            <w:vAlign w:val="center"/>
          </w:tcPr>
          <w:p w14:paraId="49F88D0C">
            <w:pPr>
              <w:snapToGrid w:val="0"/>
              <w:spacing w:line="360" w:lineRule="auto"/>
              <w:rPr>
                <w:rFonts w:ascii="仿宋" w:hAnsi="仿宋" w:eastAsia="仿宋" w:cs="仿宋"/>
                <w:color w:val="000000" w:themeColor="text1"/>
                <w14:textFill>
                  <w14:solidFill>
                    <w14:schemeClr w14:val="tx1"/>
                  </w14:solidFill>
                </w14:textFill>
              </w:rPr>
            </w:pPr>
          </w:p>
        </w:tc>
        <w:tc>
          <w:tcPr>
            <w:tcW w:w="1451" w:type="dxa"/>
            <w:vAlign w:val="center"/>
          </w:tcPr>
          <w:p w14:paraId="250329E7">
            <w:pPr>
              <w:snapToGrid w:val="0"/>
              <w:spacing w:line="360" w:lineRule="auto"/>
              <w:rPr>
                <w:rFonts w:ascii="仿宋" w:hAnsi="仿宋" w:eastAsia="仿宋" w:cs="仿宋"/>
                <w:color w:val="000000" w:themeColor="text1"/>
                <w14:textFill>
                  <w14:solidFill>
                    <w14:schemeClr w14:val="tx1"/>
                  </w14:solidFill>
                </w14:textFill>
              </w:rPr>
            </w:pPr>
          </w:p>
        </w:tc>
        <w:tc>
          <w:tcPr>
            <w:tcW w:w="1335" w:type="dxa"/>
            <w:vAlign w:val="center"/>
          </w:tcPr>
          <w:p w14:paraId="67D477E7">
            <w:pPr>
              <w:snapToGrid w:val="0"/>
              <w:spacing w:line="360" w:lineRule="auto"/>
              <w:rPr>
                <w:rFonts w:ascii="仿宋" w:hAnsi="仿宋" w:eastAsia="仿宋" w:cs="仿宋"/>
                <w:color w:val="000000" w:themeColor="text1"/>
                <w14:textFill>
                  <w14:solidFill>
                    <w14:schemeClr w14:val="tx1"/>
                  </w14:solidFill>
                </w14:textFill>
              </w:rPr>
            </w:pPr>
          </w:p>
        </w:tc>
        <w:tc>
          <w:tcPr>
            <w:tcW w:w="1579" w:type="dxa"/>
            <w:vAlign w:val="center"/>
          </w:tcPr>
          <w:p w14:paraId="579786FA">
            <w:pPr>
              <w:snapToGrid w:val="0"/>
              <w:spacing w:line="360" w:lineRule="auto"/>
              <w:rPr>
                <w:rFonts w:ascii="仿宋" w:hAnsi="仿宋" w:eastAsia="仿宋" w:cs="仿宋"/>
                <w:color w:val="000000" w:themeColor="text1"/>
                <w14:textFill>
                  <w14:solidFill>
                    <w14:schemeClr w14:val="tx1"/>
                  </w14:solidFill>
                </w14:textFill>
              </w:rPr>
            </w:pPr>
          </w:p>
        </w:tc>
        <w:tc>
          <w:tcPr>
            <w:tcW w:w="1338" w:type="dxa"/>
            <w:vAlign w:val="center"/>
          </w:tcPr>
          <w:p w14:paraId="166C863C">
            <w:pPr>
              <w:snapToGrid w:val="0"/>
              <w:spacing w:line="360" w:lineRule="auto"/>
              <w:rPr>
                <w:rFonts w:ascii="仿宋" w:hAnsi="仿宋" w:eastAsia="仿宋" w:cs="仿宋"/>
                <w:color w:val="000000" w:themeColor="text1"/>
                <w14:textFill>
                  <w14:solidFill>
                    <w14:schemeClr w14:val="tx1"/>
                  </w14:solidFill>
                </w14:textFill>
              </w:rPr>
            </w:pPr>
          </w:p>
        </w:tc>
        <w:tc>
          <w:tcPr>
            <w:tcW w:w="1173" w:type="dxa"/>
            <w:vAlign w:val="center"/>
          </w:tcPr>
          <w:p w14:paraId="3B95113F">
            <w:pPr>
              <w:snapToGrid w:val="0"/>
              <w:spacing w:line="360" w:lineRule="auto"/>
              <w:rPr>
                <w:rFonts w:ascii="仿宋" w:hAnsi="仿宋" w:eastAsia="仿宋" w:cs="仿宋"/>
                <w:color w:val="000000" w:themeColor="text1"/>
                <w14:textFill>
                  <w14:solidFill>
                    <w14:schemeClr w14:val="tx1"/>
                  </w14:solidFill>
                </w14:textFill>
              </w:rPr>
            </w:pPr>
          </w:p>
        </w:tc>
      </w:tr>
      <w:tr w14:paraId="06B6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52" w:type="dxa"/>
            <w:vAlign w:val="center"/>
          </w:tcPr>
          <w:p w14:paraId="0B331992">
            <w:pPr>
              <w:snapToGrid w:val="0"/>
              <w:spacing w:line="360" w:lineRule="auto"/>
              <w:rPr>
                <w:rFonts w:ascii="仿宋" w:hAnsi="仿宋" w:eastAsia="仿宋" w:cs="仿宋"/>
                <w:color w:val="000000" w:themeColor="text1"/>
                <w14:textFill>
                  <w14:solidFill>
                    <w14:schemeClr w14:val="tx1"/>
                  </w14:solidFill>
                </w14:textFill>
              </w:rPr>
            </w:pPr>
          </w:p>
        </w:tc>
        <w:tc>
          <w:tcPr>
            <w:tcW w:w="1451" w:type="dxa"/>
            <w:vAlign w:val="center"/>
          </w:tcPr>
          <w:p w14:paraId="74B1F4A4">
            <w:pPr>
              <w:snapToGrid w:val="0"/>
              <w:spacing w:line="360" w:lineRule="auto"/>
              <w:rPr>
                <w:rFonts w:ascii="仿宋" w:hAnsi="仿宋" w:eastAsia="仿宋" w:cs="仿宋"/>
                <w:color w:val="000000" w:themeColor="text1"/>
                <w14:textFill>
                  <w14:solidFill>
                    <w14:schemeClr w14:val="tx1"/>
                  </w14:solidFill>
                </w14:textFill>
              </w:rPr>
            </w:pPr>
          </w:p>
        </w:tc>
        <w:tc>
          <w:tcPr>
            <w:tcW w:w="1335" w:type="dxa"/>
            <w:vAlign w:val="center"/>
          </w:tcPr>
          <w:p w14:paraId="1BCDA7D7">
            <w:pPr>
              <w:snapToGrid w:val="0"/>
              <w:spacing w:line="360" w:lineRule="auto"/>
              <w:rPr>
                <w:rFonts w:ascii="仿宋" w:hAnsi="仿宋" w:eastAsia="仿宋" w:cs="仿宋"/>
                <w:color w:val="000000" w:themeColor="text1"/>
                <w14:textFill>
                  <w14:solidFill>
                    <w14:schemeClr w14:val="tx1"/>
                  </w14:solidFill>
                </w14:textFill>
              </w:rPr>
            </w:pPr>
          </w:p>
        </w:tc>
        <w:tc>
          <w:tcPr>
            <w:tcW w:w="1579" w:type="dxa"/>
            <w:vAlign w:val="center"/>
          </w:tcPr>
          <w:p w14:paraId="128E2EE4">
            <w:pPr>
              <w:snapToGrid w:val="0"/>
              <w:spacing w:line="360" w:lineRule="auto"/>
              <w:rPr>
                <w:rFonts w:ascii="仿宋" w:hAnsi="仿宋" w:eastAsia="仿宋" w:cs="仿宋"/>
                <w:color w:val="000000" w:themeColor="text1"/>
                <w14:textFill>
                  <w14:solidFill>
                    <w14:schemeClr w14:val="tx1"/>
                  </w14:solidFill>
                </w14:textFill>
              </w:rPr>
            </w:pPr>
          </w:p>
        </w:tc>
        <w:tc>
          <w:tcPr>
            <w:tcW w:w="1338" w:type="dxa"/>
            <w:vAlign w:val="center"/>
          </w:tcPr>
          <w:p w14:paraId="1F8B5CD5">
            <w:pPr>
              <w:snapToGrid w:val="0"/>
              <w:spacing w:line="360" w:lineRule="auto"/>
              <w:rPr>
                <w:rFonts w:ascii="仿宋" w:hAnsi="仿宋" w:eastAsia="仿宋" w:cs="仿宋"/>
                <w:color w:val="000000" w:themeColor="text1"/>
                <w14:textFill>
                  <w14:solidFill>
                    <w14:schemeClr w14:val="tx1"/>
                  </w14:solidFill>
                </w14:textFill>
              </w:rPr>
            </w:pPr>
          </w:p>
        </w:tc>
        <w:tc>
          <w:tcPr>
            <w:tcW w:w="1173" w:type="dxa"/>
            <w:vAlign w:val="center"/>
          </w:tcPr>
          <w:p w14:paraId="75A2F721">
            <w:pPr>
              <w:snapToGrid w:val="0"/>
              <w:spacing w:line="360" w:lineRule="auto"/>
              <w:rPr>
                <w:rFonts w:ascii="仿宋" w:hAnsi="仿宋" w:eastAsia="仿宋" w:cs="仿宋"/>
                <w:color w:val="000000" w:themeColor="text1"/>
                <w14:textFill>
                  <w14:solidFill>
                    <w14:schemeClr w14:val="tx1"/>
                  </w14:solidFill>
                </w14:textFill>
              </w:rPr>
            </w:pPr>
          </w:p>
        </w:tc>
      </w:tr>
      <w:tr w14:paraId="2690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52" w:type="dxa"/>
            <w:vAlign w:val="center"/>
          </w:tcPr>
          <w:p w14:paraId="62AA8091">
            <w:pPr>
              <w:snapToGrid w:val="0"/>
              <w:spacing w:line="360" w:lineRule="auto"/>
              <w:rPr>
                <w:rFonts w:ascii="仿宋" w:hAnsi="仿宋" w:eastAsia="仿宋" w:cs="仿宋"/>
                <w:color w:val="000000" w:themeColor="text1"/>
                <w14:textFill>
                  <w14:solidFill>
                    <w14:schemeClr w14:val="tx1"/>
                  </w14:solidFill>
                </w14:textFill>
              </w:rPr>
            </w:pPr>
          </w:p>
        </w:tc>
        <w:tc>
          <w:tcPr>
            <w:tcW w:w="1451" w:type="dxa"/>
            <w:vAlign w:val="center"/>
          </w:tcPr>
          <w:p w14:paraId="5D52A083">
            <w:pPr>
              <w:snapToGrid w:val="0"/>
              <w:spacing w:line="360" w:lineRule="auto"/>
              <w:rPr>
                <w:rFonts w:ascii="仿宋" w:hAnsi="仿宋" w:eastAsia="仿宋" w:cs="仿宋"/>
                <w:color w:val="000000" w:themeColor="text1"/>
                <w14:textFill>
                  <w14:solidFill>
                    <w14:schemeClr w14:val="tx1"/>
                  </w14:solidFill>
                </w14:textFill>
              </w:rPr>
            </w:pPr>
          </w:p>
        </w:tc>
        <w:tc>
          <w:tcPr>
            <w:tcW w:w="1335" w:type="dxa"/>
            <w:vAlign w:val="center"/>
          </w:tcPr>
          <w:p w14:paraId="57B0F860">
            <w:pPr>
              <w:snapToGrid w:val="0"/>
              <w:spacing w:line="360" w:lineRule="auto"/>
              <w:rPr>
                <w:rFonts w:ascii="仿宋" w:hAnsi="仿宋" w:eastAsia="仿宋" w:cs="仿宋"/>
                <w:color w:val="000000" w:themeColor="text1"/>
                <w14:textFill>
                  <w14:solidFill>
                    <w14:schemeClr w14:val="tx1"/>
                  </w14:solidFill>
                </w14:textFill>
              </w:rPr>
            </w:pPr>
          </w:p>
        </w:tc>
        <w:tc>
          <w:tcPr>
            <w:tcW w:w="1579" w:type="dxa"/>
            <w:vAlign w:val="center"/>
          </w:tcPr>
          <w:p w14:paraId="630571BC">
            <w:pPr>
              <w:snapToGrid w:val="0"/>
              <w:spacing w:line="360" w:lineRule="auto"/>
              <w:rPr>
                <w:rFonts w:ascii="仿宋" w:hAnsi="仿宋" w:eastAsia="仿宋" w:cs="仿宋"/>
                <w:color w:val="000000" w:themeColor="text1"/>
                <w14:textFill>
                  <w14:solidFill>
                    <w14:schemeClr w14:val="tx1"/>
                  </w14:solidFill>
                </w14:textFill>
              </w:rPr>
            </w:pPr>
          </w:p>
        </w:tc>
        <w:tc>
          <w:tcPr>
            <w:tcW w:w="1338" w:type="dxa"/>
            <w:vAlign w:val="center"/>
          </w:tcPr>
          <w:p w14:paraId="5F711CCD">
            <w:pPr>
              <w:snapToGrid w:val="0"/>
              <w:spacing w:line="360" w:lineRule="auto"/>
              <w:rPr>
                <w:rFonts w:ascii="仿宋" w:hAnsi="仿宋" w:eastAsia="仿宋" w:cs="仿宋"/>
                <w:color w:val="000000" w:themeColor="text1"/>
                <w14:textFill>
                  <w14:solidFill>
                    <w14:schemeClr w14:val="tx1"/>
                  </w14:solidFill>
                </w14:textFill>
              </w:rPr>
            </w:pPr>
          </w:p>
        </w:tc>
        <w:tc>
          <w:tcPr>
            <w:tcW w:w="1173" w:type="dxa"/>
            <w:vAlign w:val="center"/>
          </w:tcPr>
          <w:p w14:paraId="124CEB3C">
            <w:pPr>
              <w:snapToGrid w:val="0"/>
              <w:spacing w:line="360" w:lineRule="auto"/>
              <w:rPr>
                <w:rFonts w:ascii="仿宋" w:hAnsi="仿宋" w:eastAsia="仿宋" w:cs="仿宋"/>
                <w:color w:val="000000" w:themeColor="text1"/>
                <w14:textFill>
                  <w14:solidFill>
                    <w14:schemeClr w14:val="tx1"/>
                  </w14:solidFill>
                </w14:textFill>
              </w:rPr>
            </w:pPr>
          </w:p>
        </w:tc>
      </w:tr>
      <w:tr w14:paraId="6CCA8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52" w:type="dxa"/>
            <w:vAlign w:val="center"/>
          </w:tcPr>
          <w:p w14:paraId="1670D862">
            <w:pPr>
              <w:snapToGrid w:val="0"/>
              <w:spacing w:line="360" w:lineRule="auto"/>
              <w:rPr>
                <w:rFonts w:ascii="仿宋" w:hAnsi="仿宋" w:eastAsia="仿宋" w:cs="仿宋"/>
                <w:color w:val="000000" w:themeColor="text1"/>
                <w14:textFill>
                  <w14:solidFill>
                    <w14:schemeClr w14:val="tx1"/>
                  </w14:solidFill>
                </w14:textFill>
              </w:rPr>
            </w:pPr>
          </w:p>
        </w:tc>
        <w:tc>
          <w:tcPr>
            <w:tcW w:w="1451" w:type="dxa"/>
            <w:vAlign w:val="center"/>
          </w:tcPr>
          <w:p w14:paraId="35D102F8">
            <w:pPr>
              <w:snapToGrid w:val="0"/>
              <w:spacing w:line="360" w:lineRule="auto"/>
              <w:rPr>
                <w:rFonts w:ascii="仿宋" w:hAnsi="仿宋" w:eastAsia="仿宋" w:cs="仿宋"/>
                <w:color w:val="000000" w:themeColor="text1"/>
                <w14:textFill>
                  <w14:solidFill>
                    <w14:schemeClr w14:val="tx1"/>
                  </w14:solidFill>
                </w14:textFill>
              </w:rPr>
            </w:pPr>
          </w:p>
        </w:tc>
        <w:tc>
          <w:tcPr>
            <w:tcW w:w="1335" w:type="dxa"/>
            <w:vAlign w:val="center"/>
          </w:tcPr>
          <w:p w14:paraId="0E6B1FBA">
            <w:pPr>
              <w:snapToGrid w:val="0"/>
              <w:spacing w:line="360" w:lineRule="auto"/>
              <w:rPr>
                <w:rFonts w:ascii="仿宋" w:hAnsi="仿宋" w:eastAsia="仿宋" w:cs="仿宋"/>
                <w:color w:val="000000" w:themeColor="text1"/>
                <w14:textFill>
                  <w14:solidFill>
                    <w14:schemeClr w14:val="tx1"/>
                  </w14:solidFill>
                </w14:textFill>
              </w:rPr>
            </w:pPr>
          </w:p>
        </w:tc>
        <w:tc>
          <w:tcPr>
            <w:tcW w:w="1579" w:type="dxa"/>
            <w:vAlign w:val="center"/>
          </w:tcPr>
          <w:p w14:paraId="666304CA">
            <w:pPr>
              <w:snapToGrid w:val="0"/>
              <w:spacing w:line="360" w:lineRule="auto"/>
              <w:rPr>
                <w:rFonts w:ascii="仿宋" w:hAnsi="仿宋" w:eastAsia="仿宋" w:cs="仿宋"/>
                <w:color w:val="000000" w:themeColor="text1"/>
                <w14:textFill>
                  <w14:solidFill>
                    <w14:schemeClr w14:val="tx1"/>
                  </w14:solidFill>
                </w14:textFill>
              </w:rPr>
            </w:pPr>
          </w:p>
        </w:tc>
        <w:tc>
          <w:tcPr>
            <w:tcW w:w="1338" w:type="dxa"/>
            <w:vAlign w:val="center"/>
          </w:tcPr>
          <w:p w14:paraId="192C4639">
            <w:pPr>
              <w:snapToGrid w:val="0"/>
              <w:spacing w:line="360" w:lineRule="auto"/>
              <w:rPr>
                <w:rFonts w:ascii="仿宋" w:hAnsi="仿宋" w:eastAsia="仿宋" w:cs="仿宋"/>
                <w:color w:val="000000" w:themeColor="text1"/>
                <w14:textFill>
                  <w14:solidFill>
                    <w14:schemeClr w14:val="tx1"/>
                  </w14:solidFill>
                </w14:textFill>
              </w:rPr>
            </w:pPr>
          </w:p>
        </w:tc>
        <w:tc>
          <w:tcPr>
            <w:tcW w:w="1173" w:type="dxa"/>
            <w:vAlign w:val="center"/>
          </w:tcPr>
          <w:p w14:paraId="6893FC81">
            <w:pPr>
              <w:snapToGrid w:val="0"/>
              <w:spacing w:line="360" w:lineRule="auto"/>
              <w:rPr>
                <w:rFonts w:ascii="仿宋" w:hAnsi="仿宋" w:eastAsia="仿宋" w:cs="仿宋"/>
                <w:color w:val="000000" w:themeColor="text1"/>
                <w14:textFill>
                  <w14:solidFill>
                    <w14:schemeClr w14:val="tx1"/>
                  </w14:solidFill>
                </w14:textFill>
              </w:rPr>
            </w:pPr>
          </w:p>
        </w:tc>
      </w:tr>
      <w:tr w14:paraId="296C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52" w:type="dxa"/>
            <w:vAlign w:val="center"/>
          </w:tcPr>
          <w:p w14:paraId="79C936EF">
            <w:pPr>
              <w:snapToGrid w:val="0"/>
              <w:spacing w:line="360" w:lineRule="auto"/>
              <w:rPr>
                <w:rFonts w:ascii="仿宋" w:hAnsi="仿宋" w:eastAsia="仿宋" w:cs="仿宋"/>
                <w:color w:val="000000" w:themeColor="text1"/>
                <w14:textFill>
                  <w14:solidFill>
                    <w14:schemeClr w14:val="tx1"/>
                  </w14:solidFill>
                </w14:textFill>
              </w:rPr>
            </w:pPr>
          </w:p>
        </w:tc>
        <w:tc>
          <w:tcPr>
            <w:tcW w:w="1451" w:type="dxa"/>
            <w:vAlign w:val="center"/>
          </w:tcPr>
          <w:p w14:paraId="045E6C29">
            <w:pPr>
              <w:snapToGrid w:val="0"/>
              <w:spacing w:line="360" w:lineRule="auto"/>
              <w:rPr>
                <w:rFonts w:ascii="仿宋" w:hAnsi="仿宋" w:eastAsia="仿宋" w:cs="仿宋"/>
                <w:color w:val="000000" w:themeColor="text1"/>
                <w14:textFill>
                  <w14:solidFill>
                    <w14:schemeClr w14:val="tx1"/>
                  </w14:solidFill>
                </w14:textFill>
              </w:rPr>
            </w:pPr>
          </w:p>
        </w:tc>
        <w:tc>
          <w:tcPr>
            <w:tcW w:w="1335" w:type="dxa"/>
            <w:vAlign w:val="center"/>
          </w:tcPr>
          <w:p w14:paraId="03453E8F">
            <w:pPr>
              <w:snapToGrid w:val="0"/>
              <w:spacing w:line="360" w:lineRule="auto"/>
              <w:rPr>
                <w:rFonts w:ascii="仿宋" w:hAnsi="仿宋" w:eastAsia="仿宋" w:cs="仿宋"/>
                <w:color w:val="000000" w:themeColor="text1"/>
                <w14:textFill>
                  <w14:solidFill>
                    <w14:schemeClr w14:val="tx1"/>
                  </w14:solidFill>
                </w14:textFill>
              </w:rPr>
            </w:pPr>
          </w:p>
        </w:tc>
        <w:tc>
          <w:tcPr>
            <w:tcW w:w="1579" w:type="dxa"/>
            <w:vAlign w:val="center"/>
          </w:tcPr>
          <w:p w14:paraId="15D7200B">
            <w:pPr>
              <w:snapToGrid w:val="0"/>
              <w:spacing w:line="360" w:lineRule="auto"/>
              <w:rPr>
                <w:rFonts w:ascii="仿宋" w:hAnsi="仿宋" w:eastAsia="仿宋" w:cs="仿宋"/>
                <w:color w:val="000000" w:themeColor="text1"/>
                <w14:textFill>
                  <w14:solidFill>
                    <w14:schemeClr w14:val="tx1"/>
                  </w14:solidFill>
                </w14:textFill>
              </w:rPr>
            </w:pPr>
          </w:p>
        </w:tc>
        <w:tc>
          <w:tcPr>
            <w:tcW w:w="1338" w:type="dxa"/>
            <w:vAlign w:val="center"/>
          </w:tcPr>
          <w:p w14:paraId="36073C99">
            <w:pPr>
              <w:snapToGrid w:val="0"/>
              <w:spacing w:line="360" w:lineRule="auto"/>
              <w:rPr>
                <w:rFonts w:ascii="仿宋" w:hAnsi="仿宋" w:eastAsia="仿宋" w:cs="仿宋"/>
                <w:color w:val="000000" w:themeColor="text1"/>
                <w14:textFill>
                  <w14:solidFill>
                    <w14:schemeClr w14:val="tx1"/>
                  </w14:solidFill>
                </w14:textFill>
              </w:rPr>
            </w:pPr>
          </w:p>
        </w:tc>
        <w:tc>
          <w:tcPr>
            <w:tcW w:w="1173" w:type="dxa"/>
            <w:vAlign w:val="center"/>
          </w:tcPr>
          <w:p w14:paraId="0A61B1C3">
            <w:pPr>
              <w:snapToGrid w:val="0"/>
              <w:spacing w:line="360" w:lineRule="auto"/>
              <w:rPr>
                <w:rFonts w:ascii="仿宋" w:hAnsi="仿宋" w:eastAsia="仿宋" w:cs="仿宋"/>
                <w:color w:val="000000" w:themeColor="text1"/>
                <w14:textFill>
                  <w14:solidFill>
                    <w14:schemeClr w14:val="tx1"/>
                  </w14:solidFill>
                </w14:textFill>
              </w:rPr>
            </w:pPr>
          </w:p>
        </w:tc>
      </w:tr>
    </w:tbl>
    <w:p w14:paraId="30D97309">
      <w:pPr>
        <w:snapToGrid w:val="0"/>
        <w:spacing w:line="360" w:lineRule="auto"/>
        <w:rPr>
          <w:rFonts w:ascii="仿宋" w:hAnsi="仿宋" w:eastAsia="仿宋" w:cs="仿宋"/>
          <w:color w:val="000000" w:themeColor="text1"/>
          <w14:textFill>
            <w14:solidFill>
              <w14:schemeClr w14:val="tx1"/>
            </w14:solidFill>
          </w14:textFill>
        </w:rPr>
      </w:pPr>
    </w:p>
    <w:p w14:paraId="2B18FEC1">
      <w:pPr>
        <w:pStyle w:val="76"/>
      </w:pPr>
    </w:p>
    <w:p w14:paraId="5F2F5B69">
      <w:pPr>
        <w:rPr>
          <w:rFonts w:hint="eastAsia"/>
        </w:rPr>
      </w:pPr>
      <w:bookmarkStart w:id="1389" w:name="_Toc20595"/>
      <w:bookmarkStart w:id="1390" w:name="_Toc47976609"/>
      <w:r>
        <w:rPr>
          <w:rFonts w:hint="eastAsia"/>
        </w:rPr>
        <w:br w:type="page"/>
      </w:r>
    </w:p>
    <w:p w14:paraId="5871DF53">
      <w:pPr>
        <w:pStyle w:val="71"/>
      </w:pPr>
      <w:r>
        <w:rPr>
          <w:rFonts w:hint="eastAsia"/>
        </w:rPr>
        <w:t>第三部分　合同主要条款</w:t>
      </w:r>
      <w:bookmarkEnd w:id="1389"/>
      <w:bookmarkEnd w:id="1390"/>
    </w:p>
    <w:p w14:paraId="23914DBE">
      <w:pPr>
        <w:pStyle w:val="72"/>
        <w:numPr>
          <w:ilvl w:val="0"/>
          <w:numId w:val="30"/>
        </w:numPr>
        <w:ind w:left="420"/>
      </w:pPr>
      <w:bookmarkStart w:id="1391" w:name="_Toc47976610"/>
      <w:r>
        <w:rPr>
          <w:rFonts w:hint="eastAsia"/>
          <w:lang w:val="en-US" w:eastAsia="zh-CN"/>
        </w:rPr>
        <w:t>标的、数量、</w:t>
      </w:r>
      <w:r>
        <w:rPr>
          <w:rFonts w:hint="eastAsia"/>
        </w:rPr>
        <w:t>交货期</w:t>
      </w:r>
      <w:bookmarkEnd w:id="1391"/>
    </w:p>
    <w:p w14:paraId="18603CA8">
      <w:pPr>
        <w:pStyle w:val="72"/>
      </w:pPr>
      <w:bookmarkStart w:id="1392" w:name="_Toc47976611"/>
      <w:r>
        <w:rPr>
          <w:rFonts w:hint="eastAsia"/>
        </w:rPr>
        <w:t>交货地点</w:t>
      </w:r>
      <w:bookmarkEnd w:id="1392"/>
    </w:p>
    <w:p w14:paraId="3F03A936">
      <w:pPr>
        <w:pStyle w:val="72"/>
      </w:pPr>
      <w:bookmarkStart w:id="1393" w:name="_Toc47976612"/>
      <w:r>
        <w:rPr>
          <w:rFonts w:hint="eastAsia"/>
          <w:lang w:val="en-US" w:eastAsia="zh-CN"/>
        </w:rPr>
        <w:t>价款及</w:t>
      </w:r>
      <w:r>
        <w:rPr>
          <w:rFonts w:hint="eastAsia"/>
        </w:rPr>
        <w:t>付款方式</w:t>
      </w:r>
      <w:bookmarkEnd w:id="1393"/>
    </w:p>
    <w:p w14:paraId="0A7F4E98">
      <w:pPr>
        <w:pStyle w:val="72"/>
      </w:pPr>
      <w:bookmarkStart w:id="1394" w:name="_Toc47976613"/>
      <w:r>
        <w:rPr>
          <w:rFonts w:hint="eastAsia"/>
          <w:lang w:val="en-US" w:eastAsia="zh-CN"/>
        </w:rPr>
        <w:t>质量要求、</w:t>
      </w:r>
      <w:r>
        <w:rPr>
          <w:rFonts w:hint="eastAsia"/>
        </w:rPr>
        <w:t>保修期及售后服务</w:t>
      </w:r>
      <w:bookmarkEnd w:id="1394"/>
    </w:p>
    <w:p w14:paraId="50F6C5C1">
      <w:pPr>
        <w:pStyle w:val="72"/>
      </w:pPr>
      <w:bookmarkStart w:id="1395" w:name="_Toc47976614"/>
      <w:r>
        <w:rPr>
          <w:rFonts w:hint="eastAsia"/>
        </w:rPr>
        <w:t>安装、调试及验收要求</w:t>
      </w:r>
      <w:bookmarkEnd w:id="1395"/>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1396" w:name="_Toc47976615"/>
      <w:bookmarkStart w:id="1397" w:name="_Toc5925"/>
      <w:r>
        <w:rPr>
          <w:rFonts w:hint="eastAsia"/>
        </w:rPr>
        <w:t>第四部分　</w:t>
      </w:r>
      <w:bookmarkEnd w:id="1396"/>
      <w:r>
        <w:rPr>
          <w:rFonts w:hint="eastAsia"/>
          <w:lang w:val="en-US" w:eastAsia="zh-CN"/>
        </w:rPr>
        <w:t>投标文件附件</w:t>
      </w:r>
      <w:bookmarkEnd w:id="1397"/>
    </w:p>
    <w:p w14:paraId="600DE1DD">
      <w:pPr>
        <w:pStyle w:val="71"/>
        <w:jc w:val="left"/>
        <w:rPr>
          <w:rFonts w:hint="eastAsia" w:ascii="宋体" w:hAnsi="宋体" w:eastAsia="宋体" w:cs="宋体"/>
          <w:sz w:val="32"/>
          <w:szCs w:val="32"/>
          <w:highlight w:val="yellow"/>
          <w:lang w:eastAsia="zh-CN"/>
        </w:rPr>
      </w:pPr>
      <w:bookmarkStart w:id="1398" w:name="_Toc4225"/>
      <w:bookmarkStart w:id="1399" w:name="_Toc47976616"/>
      <w:r>
        <w:rPr>
          <w:rFonts w:hint="eastAsia" w:ascii="宋体" w:hAnsi="宋体" w:eastAsia="宋体" w:cs="宋体"/>
          <w:sz w:val="32"/>
          <w:szCs w:val="32"/>
          <w:highlight w:val="yellow"/>
        </w:rPr>
        <w:t>附件</w:t>
      </w:r>
      <w:bookmarkEnd w:id="1398"/>
      <w:bookmarkEnd w:id="1399"/>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1400" w:name="_Toc47976618"/>
      <w:bookmarkStart w:id="1401" w:name="_Toc29366869"/>
      <w:bookmarkStart w:id="1402" w:name="_Toc29366865"/>
      <w:r>
        <w:rPr>
          <w:rFonts w:hint="eastAsia" w:ascii="宋体" w:hAnsi="宋体" w:eastAsia="宋体" w:cs="宋体"/>
          <w:sz w:val="32"/>
          <w:szCs w:val="32"/>
          <w:highlight w:val="yellow"/>
          <w:lang w:val="en-US" w:eastAsia="zh-CN"/>
        </w:rPr>
        <w:t>附件2</w:t>
      </w:r>
    </w:p>
    <w:bookmarkEnd w:id="1400"/>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1401"/>
    <w:bookmarkEnd w:id="1402"/>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8F31B14">
      <w:pPr>
        <w:pStyle w:val="72"/>
        <w:numPr>
          <w:ilvl w:val="0"/>
          <w:numId w:val="0"/>
        </w:numPr>
        <w:ind w:leftChars="0"/>
        <w:jc w:val="center"/>
        <w:rPr>
          <w:rFonts w:hint="eastAsia"/>
          <w:lang w:val="en-US" w:eastAsia="zh-CN"/>
        </w:rPr>
      </w:pPr>
      <w:r>
        <w:rPr>
          <w:rFonts w:hint="eastAsia"/>
          <w:lang w:val="en-US" w:eastAsia="zh-CN"/>
        </w:rPr>
        <w:t>开标一览表</w:t>
      </w:r>
    </w:p>
    <w:p w14:paraId="6D590B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D4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94C651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D16DC0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42EEBB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7ED08C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D64AA71">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28A5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81A3299">
            <w:pPr>
              <w:jc w:val="center"/>
              <w:rPr>
                <w:rFonts w:ascii="Times New Roman" w:hAnsi="Times New Roman" w:eastAsia="宋体" w:cs="Times New Roman"/>
                <w:b/>
                <w:szCs w:val="20"/>
              </w:rPr>
            </w:pPr>
          </w:p>
        </w:tc>
        <w:tc>
          <w:tcPr>
            <w:tcW w:w="1518" w:type="dxa"/>
            <w:vAlign w:val="center"/>
          </w:tcPr>
          <w:p w14:paraId="66911250">
            <w:pPr>
              <w:jc w:val="center"/>
              <w:rPr>
                <w:rFonts w:hint="eastAsia" w:ascii="Times New Roman" w:hAnsi="Times New Roman" w:eastAsia="宋体" w:cs="Times New Roman"/>
                <w:b/>
                <w:szCs w:val="20"/>
                <w:lang w:eastAsia="zh-CN"/>
              </w:rPr>
            </w:pPr>
          </w:p>
        </w:tc>
        <w:tc>
          <w:tcPr>
            <w:tcW w:w="848" w:type="dxa"/>
            <w:vAlign w:val="center"/>
          </w:tcPr>
          <w:p w14:paraId="2351FE2D">
            <w:pPr>
              <w:jc w:val="center"/>
              <w:rPr>
                <w:rFonts w:hint="eastAsia" w:ascii="Times New Roman" w:hAnsi="Times New Roman" w:eastAsia="宋体" w:cs="Times New Roman"/>
                <w:b/>
                <w:szCs w:val="20"/>
                <w:lang w:val="en-US" w:eastAsia="zh-CN"/>
              </w:rPr>
            </w:pPr>
          </w:p>
        </w:tc>
        <w:tc>
          <w:tcPr>
            <w:tcW w:w="2270" w:type="dxa"/>
            <w:vAlign w:val="center"/>
          </w:tcPr>
          <w:p w14:paraId="5890F9DE">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46C0EE0">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668D1B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24B1EFF2">
            <w:pPr>
              <w:jc w:val="center"/>
              <w:rPr>
                <w:rFonts w:ascii="Times New Roman" w:hAnsi="Times New Roman" w:eastAsia="宋体" w:cs="Times New Roman"/>
                <w:b/>
                <w:szCs w:val="20"/>
              </w:rPr>
            </w:pPr>
          </w:p>
        </w:tc>
      </w:tr>
    </w:tbl>
    <w:p w14:paraId="48CC0131">
      <w:pPr>
        <w:rPr>
          <w:rFonts w:ascii="宋体" w:hAnsi="Arial" w:eastAsia="宋体" w:cs="Times New Roman"/>
          <w:sz w:val="24"/>
          <w:szCs w:val="24"/>
        </w:rPr>
      </w:pPr>
    </w:p>
    <w:p w14:paraId="11A7756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656B14B">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EB14874">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51EA7DB">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0133E326">
      <w:pPr>
        <w:pStyle w:val="14"/>
        <w:rPr>
          <w:rFonts w:hint="eastAsia" w:hAnsi="宋体" w:eastAsia="宋体" w:cs="Times New Roman"/>
          <w:b/>
          <w:bCs/>
          <w:szCs w:val="21"/>
          <w:highlight w:val="yellow"/>
        </w:rPr>
      </w:pPr>
    </w:p>
    <w:p w14:paraId="61D2FD3B">
      <w:pPr>
        <w:pStyle w:val="14"/>
        <w:rPr>
          <w:rFonts w:hint="eastAsia" w:hAnsi="宋体" w:eastAsia="宋体" w:cs="Times New Roman"/>
          <w:b/>
          <w:bCs/>
          <w:szCs w:val="21"/>
          <w:highlight w:val="yellow"/>
        </w:rPr>
      </w:pPr>
    </w:p>
    <w:p w14:paraId="47C2B33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73D7E58A">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EF42C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CEF5A">
      <w:pPr>
        <w:pStyle w:val="72"/>
        <w:numPr>
          <w:ilvl w:val="0"/>
          <w:numId w:val="0"/>
        </w:numPr>
        <w:ind w:leftChars="0"/>
      </w:pPr>
      <w:r>
        <w:t xml:space="preserve"> </w:t>
      </w:r>
    </w:p>
    <w:p w14:paraId="23BC5F9D">
      <w:pPr>
        <w:pStyle w:val="72"/>
        <w:numPr>
          <w:ilvl w:val="0"/>
          <w:numId w:val="0"/>
        </w:numPr>
        <w:ind w:leftChars="0"/>
      </w:pPr>
    </w:p>
    <w:p w14:paraId="11E108AB">
      <w:pPr>
        <w:pStyle w:val="72"/>
        <w:numPr>
          <w:ilvl w:val="0"/>
          <w:numId w:val="0"/>
        </w:numPr>
        <w:ind w:leftChars="0"/>
      </w:pPr>
    </w:p>
    <w:p w14:paraId="528315C1">
      <w:pPr>
        <w:pStyle w:val="72"/>
        <w:numPr>
          <w:ilvl w:val="0"/>
          <w:numId w:val="0"/>
        </w:numPr>
        <w:ind w:leftChars="0"/>
      </w:pPr>
    </w:p>
    <w:p w14:paraId="2D0AAC1F">
      <w:pPr>
        <w:pStyle w:val="72"/>
        <w:numPr>
          <w:ilvl w:val="0"/>
          <w:numId w:val="0"/>
        </w:numPr>
        <w:ind w:leftChars="0"/>
      </w:pPr>
    </w:p>
    <w:p w14:paraId="603D4456">
      <w:pPr>
        <w:pStyle w:val="72"/>
        <w:numPr>
          <w:ilvl w:val="0"/>
          <w:numId w:val="0"/>
        </w:numPr>
        <w:ind w:leftChars="0"/>
      </w:pPr>
    </w:p>
    <w:p w14:paraId="4A94FC11">
      <w:pPr>
        <w:pStyle w:val="72"/>
        <w:numPr>
          <w:ilvl w:val="0"/>
          <w:numId w:val="0"/>
        </w:numPr>
        <w:ind w:leftChars="0"/>
      </w:pPr>
    </w:p>
    <w:p w14:paraId="5912B5A2">
      <w:pPr>
        <w:pStyle w:val="76"/>
        <w:ind w:firstLine="630" w:firstLineChars="300"/>
        <w:rPr>
          <w:rFonts w:hint="eastAsia"/>
        </w:rPr>
      </w:pPr>
    </w:p>
    <w:p w14:paraId="26159F05">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5BD7C652">
      <w:pPr>
        <w:rPr>
          <w:rFonts w:ascii="宋体" w:hAnsi="宋体"/>
          <w:highlight w:val="none"/>
        </w:rPr>
      </w:pPr>
      <w:r>
        <w:rPr>
          <w:rFonts w:hint="eastAsia" w:ascii="宋体" w:hAnsi="宋体"/>
          <w:highlight w:val="none"/>
        </w:rPr>
        <w:t>项目名称：(XX项目)</w:t>
      </w:r>
    </w:p>
    <w:p w14:paraId="668E81F4">
      <w:pPr>
        <w:rPr>
          <w:rFonts w:ascii="宋体" w:hAnsi="宋体"/>
          <w:highlight w:val="none"/>
        </w:rPr>
      </w:pPr>
    </w:p>
    <w:p w14:paraId="27710DF3">
      <w:pPr>
        <w:rPr>
          <w:rFonts w:ascii="宋体" w:hAnsi="宋体"/>
          <w:szCs w:val="21"/>
          <w:highlight w:val="none"/>
        </w:rPr>
      </w:pPr>
      <w:r>
        <w:rPr>
          <w:rFonts w:hint="eastAsia" w:ascii="宋体" w:hAnsi="宋体"/>
          <w:szCs w:val="21"/>
          <w:highlight w:val="none"/>
        </w:rPr>
        <w:t>日期：  年   月   日</w:t>
      </w:r>
    </w:p>
    <w:p w14:paraId="087E0A24">
      <w:pPr>
        <w:jc w:val="center"/>
        <w:rPr>
          <w:rFonts w:eastAsia="黑体"/>
          <w:b/>
          <w:bCs/>
          <w:sz w:val="28"/>
          <w:highlight w:val="none"/>
        </w:rPr>
      </w:pPr>
    </w:p>
    <w:p w14:paraId="5DEAF24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75B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F345F4">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6C3F86B2">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138B2732">
            <w:pPr>
              <w:jc w:val="center"/>
              <w:rPr>
                <w:rFonts w:ascii="宋体" w:hAnsi="宋体"/>
                <w:sz w:val="24"/>
                <w:highlight w:val="none"/>
              </w:rPr>
            </w:pPr>
            <w:r>
              <w:rPr>
                <w:rFonts w:hint="eastAsia" w:ascii="宋体" w:hAnsi="宋体"/>
                <w:sz w:val="24"/>
                <w:highlight w:val="none"/>
              </w:rPr>
              <w:t>偏离内容</w:t>
            </w:r>
          </w:p>
        </w:tc>
      </w:tr>
      <w:tr w14:paraId="3E26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4261E21">
            <w:pPr>
              <w:rPr>
                <w:rFonts w:ascii="宋体" w:hAnsi="宋体"/>
                <w:sz w:val="24"/>
                <w:highlight w:val="none"/>
              </w:rPr>
            </w:pPr>
          </w:p>
        </w:tc>
        <w:tc>
          <w:tcPr>
            <w:tcW w:w="1080" w:type="dxa"/>
            <w:vAlign w:val="center"/>
          </w:tcPr>
          <w:p w14:paraId="0E5FEE95">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704BD299">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0DBB6E56">
            <w:pPr>
              <w:jc w:val="center"/>
              <w:rPr>
                <w:rFonts w:ascii="宋体" w:hAnsi="宋体"/>
                <w:sz w:val="24"/>
                <w:highlight w:val="none"/>
              </w:rPr>
            </w:pPr>
          </w:p>
        </w:tc>
      </w:tr>
      <w:tr w14:paraId="5DFD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CFB6E4">
            <w:pPr>
              <w:jc w:val="center"/>
              <w:rPr>
                <w:rFonts w:ascii="宋体" w:hAnsi="宋体"/>
                <w:sz w:val="24"/>
                <w:highlight w:val="none"/>
              </w:rPr>
            </w:pPr>
            <w:r>
              <w:rPr>
                <w:rFonts w:hint="eastAsia" w:ascii="宋体" w:hAnsi="宋体"/>
                <w:sz w:val="24"/>
                <w:highlight w:val="none"/>
              </w:rPr>
              <w:t>1</w:t>
            </w:r>
          </w:p>
        </w:tc>
        <w:tc>
          <w:tcPr>
            <w:tcW w:w="1080" w:type="dxa"/>
            <w:vAlign w:val="center"/>
          </w:tcPr>
          <w:p w14:paraId="79E8AA3B">
            <w:pPr>
              <w:rPr>
                <w:rFonts w:ascii="宋体" w:hAnsi="宋体"/>
                <w:sz w:val="24"/>
                <w:highlight w:val="none"/>
              </w:rPr>
            </w:pPr>
          </w:p>
        </w:tc>
        <w:tc>
          <w:tcPr>
            <w:tcW w:w="3060" w:type="dxa"/>
            <w:vAlign w:val="center"/>
          </w:tcPr>
          <w:p w14:paraId="5C7ED76C">
            <w:pPr>
              <w:rPr>
                <w:rFonts w:ascii="宋体" w:hAnsi="宋体"/>
                <w:sz w:val="24"/>
                <w:highlight w:val="none"/>
              </w:rPr>
            </w:pPr>
          </w:p>
        </w:tc>
        <w:tc>
          <w:tcPr>
            <w:tcW w:w="3554" w:type="dxa"/>
            <w:vAlign w:val="center"/>
          </w:tcPr>
          <w:p w14:paraId="38E033F5">
            <w:pPr>
              <w:rPr>
                <w:rFonts w:ascii="宋体" w:hAnsi="宋体"/>
                <w:sz w:val="24"/>
                <w:highlight w:val="none"/>
              </w:rPr>
            </w:pPr>
          </w:p>
        </w:tc>
      </w:tr>
      <w:tr w14:paraId="688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14D93C">
            <w:pPr>
              <w:jc w:val="center"/>
              <w:rPr>
                <w:rFonts w:ascii="宋体" w:hAnsi="宋体"/>
                <w:sz w:val="24"/>
                <w:highlight w:val="none"/>
              </w:rPr>
            </w:pPr>
            <w:r>
              <w:rPr>
                <w:rFonts w:hint="eastAsia" w:ascii="宋体" w:hAnsi="宋体"/>
                <w:sz w:val="24"/>
                <w:highlight w:val="none"/>
              </w:rPr>
              <w:t>2</w:t>
            </w:r>
          </w:p>
        </w:tc>
        <w:tc>
          <w:tcPr>
            <w:tcW w:w="1080" w:type="dxa"/>
            <w:vAlign w:val="center"/>
          </w:tcPr>
          <w:p w14:paraId="7362CC0D">
            <w:pPr>
              <w:rPr>
                <w:rFonts w:ascii="宋体" w:hAnsi="宋体"/>
                <w:sz w:val="24"/>
                <w:highlight w:val="none"/>
              </w:rPr>
            </w:pPr>
          </w:p>
        </w:tc>
        <w:tc>
          <w:tcPr>
            <w:tcW w:w="3060" w:type="dxa"/>
            <w:vAlign w:val="center"/>
          </w:tcPr>
          <w:p w14:paraId="33F1AED3">
            <w:pPr>
              <w:rPr>
                <w:rFonts w:ascii="宋体" w:hAnsi="宋体"/>
                <w:sz w:val="24"/>
                <w:highlight w:val="none"/>
              </w:rPr>
            </w:pPr>
          </w:p>
        </w:tc>
        <w:tc>
          <w:tcPr>
            <w:tcW w:w="3554" w:type="dxa"/>
            <w:vAlign w:val="center"/>
          </w:tcPr>
          <w:p w14:paraId="431B9AFB">
            <w:pPr>
              <w:rPr>
                <w:rFonts w:ascii="宋体" w:hAnsi="宋体"/>
                <w:sz w:val="24"/>
                <w:highlight w:val="none"/>
              </w:rPr>
            </w:pPr>
          </w:p>
        </w:tc>
      </w:tr>
      <w:tr w14:paraId="148E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4D6FAA">
            <w:pPr>
              <w:jc w:val="center"/>
              <w:rPr>
                <w:rFonts w:ascii="宋体" w:hAnsi="宋体"/>
                <w:sz w:val="24"/>
                <w:highlight w:val="none"/>
              </w:rPr>
            </w:pPr>
            <w:r>
              <w:rPr>
                <w:rFonts w:hint="eastAsia" w:ascii="宋体" w:hAnsi="宋体"/>
                <w:sz w:val="24"/>
                <w:highlight w:val="none"/>
              </w:rPr>
              <w:t>3</w:t>
            </w:r>
          </w:p>
        </w:tc>
        <w:tc>
          <w:tcPr>
            <w:tcW w:w="1080" w:type="dxa"/>
            <w:vAlign w:val="center"/>
          </w:tcPr>
          <w:p w14:paraId="778AB29E">
            <w:pPr>
              <w:rPr>
                <w:rFonts w:ascii="宋体" w:hAnsi="宋体"/>
                <w:sz w:val="24"/>
                <w:highlight w:val="none"/>
              </w:rPr>
            </w:pPr>
          </w:p>
        </w:tc>
        <w:tc>
          <w:tcPr>
            <w:tcW w:w="3060" w:type="dxa"/>
            <w:vAlign w:val="center"/>
          </w:tcPr>
          <w:p w14:paraId="3F936D46">
            <w:pPr>
              <w:rPr>
                <w:rFonts w:ascii="宋体" w:hAnsi="宋体"/>
                <w:sz w:val="24"/>
                <w:highlight w:val="none"/>
              </w:rPr>
            </w:pPr>
          </w:p>
        </w:tc>
        <w:tc>
          <w:tcPr>
            <w:tcW w:w="3554" w:type="dxa"/>
            <w:vAlign w:val="center"/>
          </w:tcPr>
          <w:p w14:paraId="61E3D930">
            <w:pPr>
              <w:rPr>
                <w:rFonts w:ascii="宋体" w:hAnsi="宋体"/>
                <w:sz w:val="24"/>
                <w:highlight w:val="none"/>
              </w:rPr>
            </w:pPr>
          </w:p>
        </w:tc>
      </w:tr>
      <w:tr w14:paraId="053E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C367D2">
            <w:pPr>
              <w:jc w:val="center"/>
              <w:rPr>
                <w:rFonts w:ascii="宋体" w:hAnsi="宋体"/>
                <w:sz w:val="24"/>
                <w:highlight w:val="none"/>
              </w:rPr>
            </w:pPr>
            <w:r>
              <w:rPr>
                <w:rFonts w:hint="eastAsia" w:ascii="宋体" w:hAnsi="宋体"/>
                <w:sz w:val="24"/>
                <w:highlight w:val="none"/>
              </w:rPr>
              <w:t>4</w:t>
            </w:r>
          </w:p>
        </w:tc>
        <w:tc>
          <w:tcPr>
            <w:tcW w:w="1080" w:type="dxa"/>
            <w:vAlign w:val="center"/>
          </w:tcPr>
          <w:p w14:paraId="7853EE73">
            <w:pPr>
              <w:rPr>
                <w:rFonts w:ascii="宋体" w:hAnsi="宋体"/>
                <w:sz w:val="24"/>
                <w:highlight w:val="none"/>
              </w:rPr>
            </w:pPr>
          </w:p>
        </w:tc>
        <w:tc>
          <w:tcPr>
            <w:tcW w:w="3060" w:type="dxa"/>
            <w:vAlign w:val="center"/>
          </w:tcPr>
          <w:p w14:paraId="16914F17">
            <w:pPr>
              <w:rPr>
                <w:rFonts w:ascii="宋体" w:hAnsi="宋体"/>
                <w:sz w:val="24"/>
                <w:highlight w:val="none"/>
              </w:rPr>
            </w:pPr>
          </w:p>
        </w:tc>
        <w:tc>
          <w:tcPr>
            <w:tcW w:w="3554" w:type="dxa"/>
            <w:vAlign w:val="center"/>
          </w:tcPr>
          <w:p w14:paraId="72D0C65C">
            <w:pPr>
              <w:rPr>
                <w:rFonts w:ascii="宋体" w:hAnsi="宋体"/>
                <w:sz w:val="24"/>
                <w:highlight w:val="none"/>
              </w:rPr>
            </w:pPr>
          </w:p>
        </w:tc>
      </w:tr>
      <w:tr w14:paraId="7D04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69FE12">
            <w:pPr>
              <w:jc w:val="center"/>
              <w:rPr>
                <w:rFonts w:ascii="宋体" w:hAnsi="宋体"/>
                <w:sz w:val="24"/>
                <w:highlight w:val="none"/>
              </w:rPr>
            </w:pPr>
            <w:r>
              <w:rPr>
                <w:rFonts w:hint="eastAsia" w:ascii="宋体" w:hAnsi="宋体"/>
                <w:sz w:val="24"/>
                <w:highlight w:val="none"/>
              </w:rPr>
              <w:t>5</w:t>
            </w:r>
          </w:p>
        </w:tc>
        <w:tc>
          <w:tcPr>
            <w:tcW w:w="1080" w:type="dxa"/>
            <w:vAlign w:val="center"/>
          </w:tcPr>
          <w:p w14:paraId="6ABCAFC3">
            <w:pPr>
              <w:rPr>
                <w:rFonts w:ascii="宋体" w:hAnsi="宋体"/>
                <w:sz w:val="24"/>
                <w:highlight w:val="none"/>
              </w:rPr>
            </w:pPr>
          </w:p>
        </w:tc>
        <w:tc>
          <w:tcPr>
            <w:tcW w:w="3060" w:type="dxa"/>
            <w:vAlign w:val="center"/>
          </w:tcPr>
          <w:p w14:paraId="5DCD7F38">
            <w:pPr>
              <w:rPr>
                <w:rFonts w:ascii="宋体" w:hAnsi="宋体"/>
                <w:sz w:val="24"/>
                <w:highlight w:val="none"/>
              </w:rPr>
            </w:pPr>
          </w:p>
        </w:tc>
        <w:tc>
          <w:tcPr>
            <w:tcW w:w="3554" w:type="dxa"/>
            <w:vAlign w:val="center"/>
          </w:tcPr>
          <w:p w14:paraId="520A1082">
            <w:pPr>
              <w:rPr>
                <w:rFonts w:ascii="宋体" w:hAnsi="宋体"/>
                <w:sz w:val="24"/>
                <w:highlight w:val="none"/>
              </w:rPr>
            </w:pPr>
          </w:p>
        </w:tc>
      </w:tr>
      <w:tr w14:paraId="3E2E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D004C62">
            <w:pPr>
              <w:jc w:val="center"/>
              <w:rPr>
                <w:rFonts w:ascii="宋体" w:hAnsi="宋体"/>
                <w:sz w:val="24"/>
                <w:highlight w:val="none"/>
              </w:rPr>
            </w:pPr>
            <w:r>
              <w:rPr>
                <w:rFonts w:hint="eastAsia" w:ascii="宋体" w:hAnsi="宋体"/>
                <w:sz w:val="24"/>
                <w:highlight w:val="none"/>
              </w:rPr>
              <w:t>6</w:t>
            </w:r>
          </w:p>
        </w:tc>
        <w:tc>
          <w:tcPr>
            <w:tcW w:w="1080" w:type="dxa"/>
            <w:vAlign w:val="center"/>
          </w:tcPr>
          <w:p w14:paraId="6B332E89">
            <w:pPr>
              <w:rPr>
                <w:rFonts w:ascii="宋体" w:hAnsi="宋体"/>
                <w:sz w:val="24"/>
                <w:highlight w:val="none"/>
              </w:rPr>
            </w:pPr>
          </w:p>
        </w:tc>
        <w:tc>
          <w:tcPr>
            <w:tcW w:w="3060" w:type="dxa"/>
            <w:vAlign w:val="center"/>
          </w:tcPr>
          <w:p w14:paraId="418FBF1D">
            <w:pPr>
              <w:rPr>
                <w:rFonts w:ascii="宋体" w:hAnsi="宋体"/>
                <w:sz w:val="24"/>
                <w:highlight w:val="none"/>
              </w:rPr>
            </w:pPr>
          </w:p>
        </w:tc>
        <w:tc>
          <w:tcPr>
            <w:tcW w:w="3554" w:type="dxa"/>
            <w:vAlign w:val="center"/>
          </w:tcPr>
          <w:p w14:paraId="2304F937">
            <w:pPr>
              <w:rPr>
                <w:rFonts w:ascii="宋体" w:hAnsi="宋体"/>
                <w:sz w:val="24"/>
                <w:highlight w:val="none"/>
              </w:rPr>
            </w:pPr>
          </w:p>
        </w:tc>
      </w:tr>
      <w:tr w14:paraId="5FAF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B2999">
            <w:pPr>
              <w:jc w:val="center"/>
              <w:rPr>
                <w:rFonts w:ascii="宋体" w:hAnsi="宋体"/>
                <w:sz w:val="24"/>
                <w:highlight w:val="none"/>
              </w:rPr>
            </w:pPr>
            <w:r>
              <w:rPr>
                <w:rFonts w:hint="eastAsia" w:ascii="宋体" w:hAnsi="宋体"/>
                <w:sz w:val="24"/>
                <w:highlight w:val="none"/>
              </w:rPr>
              <w:t>7</w:t>
            </w:r>
          </w:p>
        </w:tc>
        <w:tc>
          <w:tcPr>
            <w:tcW w:w="1080" w:type="dxa"/>
            <w:vAlign w:val="center"/>
          </w:tcPr>
          <w:p w14:paraId="7FD7E443">
            <w:pPr>
              <w:rPr>
                <w:rFonts w:ascii="宋体" w:hAnsi="宋体"/>
                <w:sz w:val="24"/>
                <w:highlight w:val="none"/>
              </w:rPr>
            </w:pPr>
          </w:p>
        </w:tc>
        <w:tc>
          <w:tcPr>
            <w:tcW w:w="3060" w:type="dxa"/>
            <w:vAlign w:val="center"/>
          </w:tcPr>
          <w:p w14:paraId="565BE268">
            <w:pPr>
              <w:rPr>
                <w:rFonts w:ascii="宋体" w:hAnsi="宋体"/>
                <w:sz w:val="24"/>
                <w:highlight w:val="none"/>
              </w:rPr>
            </w:pPr>
          </w:p>
        </w:tc>
        <w:tc>
          <w:tcPr>
            <w:tcW w:w="3554" w:type="dxa"/>
            <w:vAlign w:val="center"/>
          </w:tcPr>
          <w:p w14:paraId="340F6D3B">
            <w:pPr>
              <w:rPr>
                <w:rFonts w:ascii="宋体" w:hAnsi="宋体"/>
                <w:sz w:val="24"/>
                <w:highlight w:val="none"/>
              </w:rPr>
            </w:pPr>
          </w:p>
        </w:tc>
      </w:tr>
      <w:tr w14:paraId="602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221B71">
            <w:pPr>
              <w:jc w:val="center"/>
              <w:rPr>
                <w:rFonts w:ascii="宋体" w:hAnsi="宋体"/>
                <w:sz w:val="24"/>
                <w:highlight w:val="none"/>
              </w:rPr>
            </w:pPr>
            <w:r>
              <w:rPr>
                <w:rFonts w:hint="eastAsia" w:ascii="宋体" w:hAnsi="宋体"/>
                <w:sz w:val="24"/>
                <w:highlight w:val="none"/>
              </w:rPr>
              <w:t>8</w:t>
            </w:r>
          </w:p>
        </w:tc>
        <w:tc>
          <w:tcPr>
            <w:tcW w:w="1080" w:type="dxa"/>
            <w:vAlign w:val="center"/>
          </w:tcPr>
          <w:p w14:paraId="5F40A39E">
            <w:pPr>
              <w:rPr>
                <w:rFonts w:ascii="宋体" w:hAnsi="宋体"/>
                <w:sz w:val="24"/>
                <w:highlight w:val="none"/>
              </w:rPr>
            </w:pPr>
          </w:p>
        </w:tc>
        <w:tc>
          <w:tcPr>
            <w:tcW w:w="3060" w:type="dxa"/>
            <w:vAlign w:val="center"/>
          </w:tcPr>
          <w:p w14:paraId="1FA85F28">
            <w:pPr>
              <w:rPr>
                <w:rFonts w:ascii="宋体" w:hAnsi="宋体"/>
                <w:sz w:val="24"/>
                <w:highlight w:val="none"/>
              </w:rPr>
            </w:pPr>
          </w:p>
        </w:tc>
        <w:tc>
          <w:tcPr>
            <w:tcW w:w="3554" w:type="dxa"/>
            <w:vAlign w:val="center"/>
          </w:tcPr>
          <w:p w14:paraId="190E402F">
            <w:pPr>
              <w:rPr>
                <w:rFonts w:ascii="宋体" w:hAnsi="宋体"/>
                <w:sz w:val="24"/>
                <w:highlight w:val="none"/>
              </w:rPr>
            </w:pPr>
          </w:p>
        </w:tc>
      </w:tr>
      <w:tr w14:paraId="2547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8365C9">
            <w:pPr>
              <w:jc w:val="center"/>
              <w:rPr>
                <w:rFonts w:ascii="宋体" w:hAnsi="宋体"/>
                <w:sz w:val="24"/>
                <w:highlight w:val="none"/>
              </w:rPr>
            </w:pPr>
            <w:r>
              <w:rPr>
                <w:rFonts w:hint="eastAsia" w:ascii="宋体" w:hAnsi="宋体"/>
                <w:sz w:val="24"/>
                <w:highlight w:val="none"/>
              </w:rPr>
              <w:t>9</w:t>
            </w:r>
          </w:p>
        </w:tc>
        <w:tc>
          <w:tcPr>
            <w:tcW w:w="1080" w:type="dxa"/>
            <w:vAlign w:val="center"/>
          </w:tcPr>
          <w:p w14:paraId="179D3B1C">
            <w:pPr>
              <w:rPr>
                <w:rFonts w:ascii="宋体" w:hAnsi="宋体"/>
                <w:sz w:val="24"/>
                <w:highlight w:val="none"/>
              </w:rPr>
            </w:pPr>
          </w:p>
        </w:tc>
        <w:tc>
          <w:tcPr>
            <w:tcW w:w="3060" w:type="dxa"/>
            <w:vAlign w:val="center"/>
          </w:tcPr>
          <w:p w14:paraId="74BC9F3B">
            <w:pPr>
              <w:rPr>
                <w:rFonts w:ascii="宋体" w:hAnsi="宋体"/>
                <w:sz w:val="24"/>
                <w:highlight w:val="none"/>
              </w:rPr>
            </w:pPr>
          </w:p>
        </w:tc>
        <w:tc>
          <w:tcPr>
            <w:tcW w:w="3554" w:type="dxa"/>
            <w:vAlign w:val="center"/>
          </w:tcPr>
          <w:p w14:paraId="6F74E332">
            <w:pPr>
              <w:rPr>
                <w:rFonts w:ascii="宋体" w:hAnsi="宋体"/>
                <w:sz w:val="24"/>
                <w:highlight w:val="none"/>
              </w:rPr>
            </w:pPr>
          </w:p>
        </w:tc>
      </w:tr>
      <w:tr w14:paraId="2F47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9F04F">
            <w:pPr>
              <w:jc w:val="center"/>
              <w:rPr>
                <w:rFonts w:ascii="宋体" w:hAnsi="宋体"/>
                <w:sz w:val="24"/>
                <w:highlight w:val="none"/>
              </w:rPr>
            </w:pPr>
            <w:r>
              <w:rPr>
                <w:rFonts w:hint="eastAsia" w:ascii="宋体" w:hAnsi="宋体"/>
                <w:sz w:val="24"/>
                <w:highlight w:val="none"/>
              </w:rPr>
              <w:t>10</w:t>
            </w:r>
          </w:p>
        </w:tc>
        <w:tc>
          <w:tcPr>
            <w:tcW w:w="1080" w:type="dxa"/>
            <w:vAlign w:val="center"/>
          </w:tcPr>
          <w:p w14:paraId="24F32732">
            <w:pPr>
              <w:rPr>
                <w:rFonts w:ascii="宋体" w:hAnsi="宋体"/>
                <w:sz w:val="24"/>
                <w:highlight w:val="none"/>
              </w:rPr>
            </w:pPr>
          </w:p>
        </w:tc>
        <w:tc>
          <w:tcPr>
            <w:tcW w:w="3060" w:type="dxa"/>
            <w:vAlign w:val="center"/>
          </w:tcPr>
          <w:p w14:paraId="060E52E3">
            <w:pPr>
              <w:rPr>
                <w:rFonts w:ascii="宋体" w:hAnsi="宋体"/>
                <w:sz w:val="24"/>
                <w:highlight w:val="none"/>
              </w:rPr>
            </w:pPr>
          </w:p>
        </w:tc>
        <w:tc>
          <w:tcPr>
            <w:tcW w:w="3554" w:type="dxa"/>
            <w:vAlign w:val="center"/>
          </w:tcPr>
          <w:p w14:paraId="19107004">
            <w:pPr>
              <w:rPr>
                <w:rFonts w:ascii="宋体" w:hAnsi="宋体"/>
                <w:sz w:val="24"/>
                <w:highlight w:val="none"/>
              </w:rPr>
            </w:pPr>
          </w:p>
        </w:tc>
      </w:tr>
    </w:tbl>
    <w:p w14:paraId="3DAC8300">
      <w:pPr>
        <w:rPr>
          <w:rFonts w:ascii="宋体" w:hAnsi="宋体"/>
          <w:sz w:val="24"/>
          <w:highlight w:val="none"/>
        </w:rPr>
      </w:pPr>
    </w:p>
    <w:p w14:paraId="5D1BEE85">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C78EAFA">
      <w:pPr>
        <w:rPr>
          <w:rFonts w:ascii="宋体" w:hAnsi="宋体"/>
          <w:sz w:val="24"/>
          <w:highlight w:val="none"/>
        </w:rPr>
      </w:pPr>
    </w:p>
    <w:p w14:paraId="4ECA13BF">
      <w:pPr>
        <w:rPr>
          <w:rFonts w:ascii="宋体" w:hAnsi="宋体"/>
          <w:sz w:val="24"/>
          <w:highlight w:val="none"/>
        </w:rPr>
      </w:pPr>
    </w:p>
    <w:p w14:paraId="70A36722">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4EA8DBF">
      <w:pPr>
        <w:rPr>
          <w:rFonts w:hint="eastAsia" w:ascii="宋体" w:hAnsi="宋体"/>
          <w:sz w:val="24"/>
          <w:highlight w:val="none"/>
        </w:rPr>
      </w:pPr>
      <w:r>
        <w:rPr>
          <w:rFonts w:hint="eastAsia" w:ascii="宋体" w:hAnsi="宋体"/>
          <w:sz w:val="24"/>
          <w:highlight w:val="none"/>
        </w:rPr>
        <w:br w:type="page"/>
      </w:r>
    </w:p>
    <w:p w14:paraId="76F976B5">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77EF8FA0">
      <w:pPr>
        <w:pStyle w:val="14"/>
      </w:pPr>
    </w:p>
    <w:p w14:paraId="044A319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5BDB9B5">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7AEC0B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EADE2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2C0D235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5DA110">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2F04CD2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7D8C87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352FEE90">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282E3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3BD048C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0782F9D5">
      <w:pPr>
        <w:pStyle w:val="14"/>
      </w:pPr>
    </w:p>
    <w:p w14:paraId="08C181F3">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7E55940E">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5A74E772">
      <w:pPr>
        <w:pStyle w:val="14"/>
      </w:pPr>
    </w:p>
    <w:p w14:paraId="4DD3959C">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07658A0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4EAB0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工艺设备 / 工艺设备”，业务主管部门为“工艺研究院”。</w:t>
      </w:r>
      <w:r>
        <w:rPr>
          <w:rFonts w:hint="eastAsia" w:ascii="宋体" w:hAnsi="宋体" w:cs="宋体"/>
          <w:b/>
          <w:bCs/>
          <w:color w:val="000000"/>
          <w:sz w:val="24"/>
          <w:szCs w:val="24"/>
        </w:rPr>
        <w:br w:type="page"/>
      </w:r>
    </w:p>
    <w:p w14:paraId="7E70F4A8">
      <w:pPr>
        <w:pStyle w:val="14"/>
        <w:outlineLvl w:val="2"/>
        <w:rPr>
          <w:rFonts w:hAnsi="宋体"/>
          <w:b/>
          <w:color w:val="000000"/>
          <w:sz w:val="24"/>
          <w:szCs w:val="24"/>
        </w:rPr>
      </w:pPr>
      <w:r>
        <w:rPr>
          <w:rFonts w:hint="eastAsia" w:hAnsi="宋体"/>
          <w:b/>
          <w:color w:val="000000"/>
          <w:sz w:val="24"/>
          <w:szCs w:val="24"/>
        </w:rPr>
        <w:t>SRM系统供应商用户手册</w:t>
      </w:r>
    </w:p>
    <w:p w14:paraId="69763E5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1F76C82">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0BCBBF6">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A397524">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DC8C2C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C89849D">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3569AD0">
      <w:r>
        <w:drawing>
          <wp:inline distT="0" distB="0" distL="0" distR="0">
            <wp:extent cx="5760085" cy="2269490"/>
            <wp:effectExtent l="0" t="0" r="5715" b="3810"/>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41C7EC2A"/>
    <w:p w14:paraId="49E2BF6B">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2D5BA2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08356D2">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42EFF51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A0821C6">
      <w:pPr>
        <w:pStyle w:val="14"/>
      </w:pPr>
      <w:r>
        <w:rPr>
          <w:rFonts w:hint="eastAsia" w:hAnsi="宋体" w:cs="宋体"/>
          <w:color w:val="000000"/>
          <w:sz w:val="24"/>
          <w:szCs w:val="28"/>
          <w:highlight w:val="yellow"/>
        </w:rPr>
        <w:t>注意：系统内的投标报价单位为“万元”，如开标现场发现填错报价，即直接淘汰。</w:t>
      </w:r>
    </w:p>
    <w:p w14:paraId="6609346A">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0C1B5F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9269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9B561B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49193D1">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8549B8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5FCBC7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17E637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F49CAE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8F38C8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A75DEC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C63E36D">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313E4BB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342400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5FC1F2A">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87DD35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5F7BBF49">
      <w:pPr>
        <w:pStyle w:val="76"/>
        <w:rPr>
          <w:rFonts w:hint="default" w:ascii="宋体" w:hAnsi="宋体"/>
          <w:sz w:val="24"/>
          <w:highlight w:val="none"/>
          <w:lang w:val="en-US"/>
        </w:rPr>
      </w:pPr>
    </w:p>
    <w:p w14:paraId="5B39D1A8">
      <w:pPr>
        <w:pStyle w:val="76"/>
        <w:rPr>
          <w:rFonts w:hint="default" w:hAnsi="宋体"/>
          <w:sz w:val="24"/>
          <w:lang w:val="en-US"/>
        </w:rPr>
      </w:pPr>
    </w:p>
    <w:p w14:paraId="00746907">
      <w:pPr>
        <w:pStyle w:val="76"/>
        <w:rPr>
          <w:rFonts w:hint="default" w:hAnsi="宋体"/>
          <w:sz w:val="24"/>
          <w:lang w:val="en-US"/>
        </w:rPr>
      </w:pPr>
    </w:p>
    <w:p w14:paraId="7D5FD97B">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5DE529A"/>
    <w:multiLevelType w:val="singleLevel"/>
    <w:tmpl w:val="C5DE529A"/>
    <w:lvl w:ilvl="0" w:tentative="0">
      <w:start w:val="2"/>
      <w:numFmt w:val="decimal"/>
      <w:suff w:val="nothing"/>
      <w:lvlText w:val="（%1）"/>
      <w:lvlJc w:val="left"/>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11FA9C"/>
    <w:multiLevelType w:val="singleLevel"/>
    <w:tmpl w:val="4C11FA9C"/>
    <w:lvl w:ilvl="0" w:tentative="0">
      <w:start w:val="1"/>
      <w:numFmt w:val="decimal"/>
      <w:suff w:val="space"/>
      <w:lvlText w:val="(%1)"/>
      <w:lvlJc w:val="left"/>
      <w:pPr>
        <w:ind w:left="425" w:hanging="425"/>
      </w:pPr>
      <w:rPr>
        <w:rFonts w:hint="default"/>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3"/>
  </w:num>
  <w:num w:numId="6">
    <w:abstractNumId w:val="15"/>
  </w:num>
  <w:num w:numId="7">
    <w:abstractNumId w:val="16"/>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4"/>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4"/>
  </w:num>
  <w:num w:numId="18">
    <w:abstractNumId w:val="26"/>
  </w:num>
  <w:num w:numId="19">
    <w:abstractNumId w:val="17"/>
  </w:num>
  <w:num w:numId="20">
    <w:abstractNumId w:val="10"/>
  </w:num>
  <w:num w:numId="21">
    <w:abstractNumId w:val="9"/>
  </w:num>
  <w:num w:numId="22">
    <w:abstractNumId w:val="4"/>
  </w:num>
  <w:num w:numId="23">
    <w:abstractNumId w:val="1"/>
  </w:num>
  <w:num w:numId="24">
    <w:abstractNumId w:val="6"/>
  </w:num>
  <w:num w:numId="25">
    <w:abstractNumId w:val="12"/>
  </w:num>
  <w:num w:numId="26">
    <w:abstractNumId w:val="11"/>
  </w:num>
  <w:num w:numId="27">
    <w:abstractNumId w:val="18"/>
  </w:num>
  <w:num w:numId="28">
    <w:abstractNumId w:val="8"/>
  </w:num>
  <w:num w:numId="29">
    <w:abstractNumId w:val="19"/>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0E2F4B"/>
    <w:rsid w:val="0CB51572"/>
    <w:rsid w:val="0E3D4337"/>
    <w:rsid w:val="0E4D31E3"/>
    <w:rsid w:val="10DC2AA3"/>
    <w:rsid w:val="10FA7C8C"/>
    <w:rsid w:val="129340D7"/>
    <w:rsid w:val="130B198F"/>
    <w:rsid w:val="16A918E4"/>
    <w:rsid w:val="17D966D6"/>
    <w:rsid w:val="1BC71D3B"/>
    <w:rsid w:val="1C59115B"/>
    <w:rsid w:val="1FB23E60"/>
    <w:rsid w:val="22C5630B"/>
    <w:rsid w:val="23EC0BA6"/>
    <w:rsid w:val="24701A48"/>
    <w:rsid w:val="268B0052"/>
    <w:rsid w:val="27743C90"/>
    <w:rsid w:val="29CA2459"/>
    <w:rsid w:val="2A4125A1"/>
    <w:rsid w:val="2B271A58"/>
    <w:rsid w:val="2B6304A7"/>
    <w:rsid w:val="2BD4504B"/>
    <w:rsid w:val="2CF6734C"/>
    <w:rsid w:val="2D663463"/>
    <w:rsid w:val="2EF96EE4"/>
    <w:rsid w:val="36254FE4"/>
    <w:rsid w:val="372F61E0"/>
    <w:rsid w:val="38942371"/>
    <w:rsid w:val="39322FCA"/>
    <w:rsid w:val="3AB90991"/>
    <w:rsid w:val="3B706131"/>
    <w:rsid w:val="3E6F041E"/>
    <w:rsid w:val="3F6A602C"/>
    <w:rsid w:val="4275481E"/>
    <w:rsid w:val="428B617A"/>
    <w:rsid w:val="433D7BDC"/>
    <w:rsid w:val="437E1813"/>
    <w:rsid w:val="45BD47FC"/>
    <w:rsid w:val="45CC5FB2"/>
    <w:rsid w:val="46B75BA8"/>
    <w:rsid w:val="48C97955"/>
    <w:rsid w:val="49880C8F"/>
    <w:rsid w:val="49FA5194"/>
    <w:rsid w:val="4A8835F7"/>
    <w:rsid w:val="4B592E71"/>
    <w:rsid w:val="51181DC1"/>
    <w:rsid w:val="51D50FD0"/>
    <w:rsid w:val="52274B10"/>
    <w:rsid w:val="52B9239A"/>
    <w:rsid w:val="54BD78FD"/>
    <w:rsid w:val="565D2FC0"/>
    <w:rsid w:val="58A86DDE"/>
    <w:rsid w:val="59154AD7"/>
    <w:rsid w:val="5ADF548D"/>
    <w:rsid w:val="5D5C60B4"/>
    <w:rsid w:val="63F04A69"/>
    <w:rsid w:val="64654A97"/>
    <w:rsid w:val="651A646A"/>
    <w:rsid w:val="66A50B1E"/>
    <w:rsid w:val="67B2063C"/>
    <w:rsid w:val="67C97AC3"/>
    <w:rsid w:val="67E30EC1"/>
    <w:rsid w:val="6A4E3B2B"/>
    <w:rsid w:val="6B481C3B"/>
    <w:rsid w:val="6C1331A3"/>
    <w:rsid w:val="6CA84BC1"/>
    <w:rsid w:val="6CD32C37"/>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Fließtext"/>
    <w:basedOn w:val="1"/>
    <w:qFormat/>
    <w:uiPriority w:val="99"/>
    <w:pPr>
      <w:widowControl/>
      <w:ind w:left="1134"/>
      <w:jc w:val="left"/>
    </w:pPr>
    <w:rPr>
      <w:rFonts w:ascii="Arial" w:hAnsi="Arial"/>
      <w:kern w:val="0"/>
      <w:szCs w:val="20"/>
      <w:lang w:val="de-DE" w:eastAsia="de-D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56</Pages>
  <Words>9332</Words>
  <Characters>9963</Characters>
  <Lines>127</Lines>
  <Paragraphs>35</Paragraphs>
  <TotalTime>103</TotalTime>
  <ScaleCrop>false</ScaleCrop>
  <LinksUpToDate>false</LinksUpToDate>
  <CharactersWithSpaces>10119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2025-12-19T02:27:48Z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