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360" w:firstLine="480" w:firstLineChars="200"/>
        <w:jc w:val="left"/>
        <w:rPr>
          <w:rFonts w:hint="eastAsia" w:ascii="宋体" w:hAnsi="宋体" w:cs="宋体"/>
          <w:sz w:val="24"/>
          <w:szCs w:val="24"/>
        </w:rPr>
      </w:pPr>
      <w:bookmarkStart w:id="200" w:name="_GoBack"/>
      <w:bookmarkEnd w:id="200"/>
      <w:r>
        <w:rPr>
          <w:rFonts w:hint="eastAsia" w:ascii="楷体_GB2312" w:hAnsi="宋体" w:eastAsia="楷体_GB2312"/>
          <w:sz w:val="24"/>
        </w:rPr>
        <w:drawing>
          <wp:anchor distT="0" distB="0" distL="114300" distR="114300" simplePos="0" relativeHeight="251660288" behindDoc="0" locked="0" layoutInCell="1" allowOverlap="1">
            <wp:simplePos x="0" y="0"/>
            <wp:positionH relativeFrom="column">
              <wp:posOffset>-198755</wp:posOffset>
            </wp:positionH>
            <wp:positionV relativeFrom="paragraph">
              <wp:posOffset>48895</wp:posOffset>
            </wp:positionV>
            <wp:extent cx="2548890" cy="889000"/>
            <wp:effectExtent l="0" t="0" r="3810" b="6350"/>
            <wp:wrapNone/>
            <wp:docPr id="1" name="图片 12" descr="tim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2" descr="timg"/>
                    <pic:cNvPicPr>
                      <a:picLocks noChangeAspect="true"/>
                    </pic:cNvPicPr>
                  </pic:nvPicPr>
                  <pic:blipFill>
                    <a:blip r:embed="rId8"/>
                    <a:stretch>
                      <a:fillRect/>
                    </a:stretch>
                  </pic:blipFill>
                  <pic:spPr>
                    <a:xfrm>
                      <a:off x="0" y="0"/>
                      <a:ext cx="2548890" cy="889000"/>
                    </a:xfrm>
                    <a:prstGeom prst="rect">
                      <a:avLst/>
                    </a:prstGeom>
                    <a:noFill/>
                    <a:ln>
                      <a:noFill/>
                    </a:ln>
                  </pic:spPr>
                </pic:pic>
              </a:graphicData>
            </a:graphic>
          </wp:anchor>
        </w:drawing>
      </w:r>
      <w:r>
        <w:rPr>
          <w:rFonts w:hint="eastAsia" w:ascii="宋体" w:hAnsi="宋体" w:cs="宋体"/>
          <w:sz w:val="24"/>
          <w:szCs w:val="24"/>
        </w:rPr>
        <w:t xml:space="preserve"> </w:t>
      </w:r>
      <w:r>
        <w:rPr>
          <w:rFonts w:ascii="宋体" w:hAnsi="宋体" w:cs="宋体"/>
          <w:sz w:val="24"/>
          <w:szCs w:val="24"/>
        </w:rPr>
        <w:t xml:space="preserve">                                                </w:t>
      </w:r>
    </w:p>
    <w:p>
      <w:pPr>
        <w:spacing w:line="360" w:lineRule="auto"/>
        <w:ind w:right="360" w:firstLine="480" w:firstLineChars="200"/>
        <w:jc w:val="left"/>
        <w:rPr>
          <w:rFonts w:hint="eastAsia" w:ascii="宋体" w:hAnsi="宋体" w:cs="宋体"/>
          <w:sz w:val="24"/>
          <w:szCs w:val="24"/>
        </w:rPr>
      </w:pPr>
    </w:p>
    <w:p>
      <w:pPr>
        <w:spacing w:line="360" w:lineRule="auto"/>
        <w:ind w:firstLine="480"/>
      </w:pPr>
    </w:p>
    <w:p>
      <w:pPr>
        <w:spacing w:line="360" w:lineRule="auto"/>
        <w:ind w:firstLine="880"/>
        <w:rPr>
          <w:rFonts w:hint="eastAsia" w:ascii="楷体_GB2312" w:hAnsi="宋体" w:eastAsia="楷体_GB2312"/>
          <w:sz w:val="44"/>
          <w:szCs w:val="44"/>
        </w:rPr>
      </w:pPr>
    </w:p>
    <w:p>
      <w:pPr>
        <w:spacing w:line="360" w:lineRule="auto"/>
        <w:ind w:firstLine="480"/>
        <w:jc w:val="center"/>
      </w:pPr>
    </w:p>
    <w:p>
      <w:pPr>
        <w:spacing w:line="360" w:lineRule="auto"/>
        <w:ind w:firstLine="1325" w:firstLineChars="300"/>
        <w:rPr>
          <w:rFonts w:hint="eastAsia" w:ascii="楷体_GB2312" w:hAnsi="宋体" w:eastAsia="楷体_GB2312"/>
          <w:b/>
          <w:bCs/>
          <w:sz w:val="44"/>
          <w:szCs w:val="44"/>
          <w:u w:val="single"/>
        </w:rPr>
      </w:pPr>
      <w:r>
        <w:rPr>
          <w:rFonts w:hint="eastAsia" w:ascii="楷体_GB2312" w:hAnsi="宋体" w:eastAsia="楷体_GB2312"/>
          <w:b/>
          <w:bCs/>
          <w:sz w:val="44"/>
          <w:szCs w:val="44"/>
          <w:u w:val="single"/>
        </w:rPr>
        <w:t>中国重汽集团济南专用车有限公司</w:t>
      </w:r>
    </w:p>
    <w:p>
      <w:pPr>
        <w:spacing w:line="360" w:lineRule="auto"/>
        <w:ind w:firstLine="1767" w:firstLineChars="400"/>
        <w:rPr>
          <w:rFonts w:hint="eastAsia" w:ascii="楷体_GB2312" w:hAnsi="宋体" w:eastAsia="楷体_GB2312"/>
          <w:b/>
          <w:bCs/>
          <w:sz w:val="44"/>
          <w:szCs w:val="44"/>
          <w:u w:val="single"/>
        </w:rPr>
      </w:pPr>
      <w:r>
        <w:rPr>
          <w:rFonts w:hint="eastAsia" w:ascii="楷体_GB2312" w:hAnsi="宋体" w:eastAsia="楷体_GB2312"/>
          <w:b/>
          <w:bCs/>
          <w:sz w:val="44"/>
          <w:szCs w:val="44"/>
          <w:u w:val="single"/>
        </w:rPr>
        <w:t>商品车存放场地租用招标项目</w:t>
      </w:r>
    </w:p>
    <w:p>
      <w:pPr>
        <w:pStyle w:val="2"/>
        <w:spacing w:line="360" w:lineRule="auto"/>
      </w:pPr>
    </w:p>
    <w:p>
      <w:pPr>
        <w:spacing w:line="360" w:lineRule="auto"/>
        <w:ind w:firstLine="2891" w:firstLineChars="400"/>
        <w:rPr>
          <w:rFonts w:hint="eastAsia" w:ascii="宋体" w:hAnsi="宋体" w:cs="宋体"/>
          <w:b/>
          <w:bCs/>
          <w:sz w:val="72"/>
          <w:szCs w:val="72"/>
        </w:rPr>
      </w:pPr>
      <w:r>
        <w:rPr>
          <w:rFonts w:hint="eastAsia" w:ascii="宋体" w:hAnsi="宋体" w:cs="宋体"/>
          <w:b/>
          <w:bCs/>
          <w:sz w:val="72"/>
          <w:szCs w:val="72"/>
        </w:rPr>
        <w:t>招标文件</w:t>
      </w:r>
    </w:p>
    <w:p>
      <w:pPr>
        <w:widowControl/>
        <w:spacing w:line="360" w:lineRule="auto"/>
        <w:ind w:firstLine="643"/>
        <w:jc w:val="center"/>
        <w:rPr>
          <w:rFonts w:hint="eastAsia" w:ascii="宋体" w:hAnsi="宋体" w:cs="宋体"/>
          <w:b/>
          <w:bCs/>
          <w:sz w:val="32"/>
          <w:szCs w:val="32"/>
        </w:rPr>
      </w:pPr>
    </w:p>
    <w:p>
      <w:pPr>
        <w:widowControl/>
        <w:spacing w:line="360" w:lineRule="auto"/>
        <w:ind w:firstLine="643"/>
        <w:jc w:val="left"/>
        <w:rPr>
          <w:rFonts w:hint="eastAsia" w:ascii="宋体" w:hAnsi="宋体" w:cs="宋体"/>
          <w:b/>
          <w:bCs/>
          <w:kern w:val="0"/>
          <w:sz w:val="32"/>
          <w:szCs w:val="32"/>
        </w:rPr>
      </w:pPr>
    </w:p>
    <w:p>
      <w:pPr>
        <w:pStyle w:val="2"/>
        <w:ind w:firstLine="643"/>
        <w:rPr>
          <w:rFonts w:hint="eastAsia" w:ascii="宋体" w:hAnsi="宋体" w:cs="宋体"/>
          <w:b/>
          <w:bCs/>
          <w:sz w:val="32"/>
          <w:szCs w:val="32"/>
        </w:rPr>
      </w:pPr>
    </w:p>
    <w:p>
      <w:pPr>
        <w:ind w:firstLine="480"/>
      </w:pPr>
    </w:p>
    <w:p>
      <w:pPr>
        <w:widowControl/>
        <w:spacing w:line="360" w:lineRule="auto"/>
        <w:ind w:firstLine="643"/>
        <w:jc w:val="left"/>
        <w:rPr>
          <w:rFonts w:hint="eastAsia" w:ascii="宋体" w:hAnsi="宋体" w:cs="宋体"/>
          <w:b/>
          <w:bCs/>
          <w:kern w:val="0"/>
          <w:sz w:val="32"/>
          <w:szCs w:val="32"/>
        </w:rPr>
      </w:pPr>
    </w:p>
    <w:p>
      <w:pPr>
        <w:widowControl/>
        <w:spacing w:line="360" w:lineRule="auto"/>
        <w:ind w:firstLine="643"/>
        <w:jc w:val="left"/>
        <w:rPr>
          <w:rFonts w:hint="eastAsia" w:ascii="宋体" w:hAnsi="宋体" w:cs="宋体"/>
          <w:b/>
          <w:bCs/>
          <w:kern w:val="0"/>
          <w:sz w:val="32"/>
          <w:szCs w:val="32"/>
        </w:rPr>
      </w:pPr>
    </w:p>
    <w:p>
      <w:pPr>
        <w:widowControl/>
        <w:spacing w:line="360" w:lineRule="auto"/>
        <w:ind w:firstLine="1590" w:firstLineChars="495"/>
        <w:rPr>
          <w:rFonts w:hint="eastAsia" w:ascii="宋体" w:hAnsi="宋体" w:cs="宋体"/>
          <w:b/>
          <w:bCs/>
          <w:kern w:val="0"/>
          <w:sz w:val="32"/>
          <w:szCs w:val="32"/>
          <w:u w:val="single"/>
        </w:rPr>
      </w:pPr>
    </w:p>
    <w:p>
      <w:pPr>
        <w:widowControl/>
        <w:spacing w:line="360" w:lineRule="auto"/>
        <w:ind w:firstLine="643"/>
        <w:jc w:val="center"/>
        <w:rPr>
          <w:rFonts w:hint="eastAsia" w:ascii="宋体" w:hAnsi="宋体" w:cs="宋体"/>
          <w:b/>
          <w:bCs/>
          <w:kern w:val="0"/>
          <w:sz w:val="32"/>
          <w:szCs w:val="32"/>
        </w:rPr>
      </w:pPr>
    </w:p>
    <w:p>
      <w:pPr>
        <w:spacing w:line="360" w:lineRule="auto"/>
        <w:ind w:firstLine="480"/>
      </w:pPr>
    </w:p>
    <w:p>
      <w:pPr>
        <w:widowControl/>
        <w:spacing w:line="360" w:lineRule="auto"/>
        <w:ind w:firstLine="2096" w:firstLineChars="696"/>
        <w:rPr>
          <w:rFonts w:hint="eastAsia" w:ascii="宋体" w:hAnsi="宋体" w:cs="宋体"/>
          <w:b/>
          <w:bCs/>
          <w:sz w:val="30"/>
          <w:szCs w:val="30"/>
          <w:u w:val="single"/>
        </w:rPr>
      </w:pPr>
      <w:r>
        <w:rPr>
          <w:rFonts w:hint="eastAsia" w:ascii="宋体" w:hAnsi="宋体" w:cs="宋体"/>
          <w:b/>
          <w:bCs/>
          <w:sz w:val="30"/>
          <w:szCs w:val="30"/>
          <w:u w:val="single"/>
        </w:rPr>
        <w:t>招标单位：中国重汽集团济南专用车有限公司</w:t>
      </w:r>
    </w:p>
    <w:p>
      <w:pPr>
        <w:spacing w:line="360" w:lineRule="auto"/>
        <w:ind w:firstLine="640"/>
        <w:jc w:val="center"/>
        <w:rPr>
          <w:rFonts w:eastAsia="黑体"/>
        </w:rPr>
      </w:pPr>
      <w:r>
        <w:rPr>
          <w:rFonts w:hint="eastAsia" w:ascii="黑体" w:hAnsi="黑体" w:eastAsia="黑体" w:cs="黑体"/>
          <w:color w:val="000000"/>
          <w:sz w:val="32"/>
        </w:rPr>
        <w:t xml:space="preserve"> 2024年10月</w:t>
      </w:r>
    </w:p>
    <w:p>
      <w:pPr>
        <w:widowControl/>
        <w:spacing w:line="360" w:lineRule="auto"/>
        <w:ind w:firstLine="723"/>
        <w:jc w:val="center"/>
        <w:rPr>
          <w:rFonts w:hint="eastAsia" w:ascii="宋体" w:hAnsi="宋体"/>
          <w:b/>
        </w:rPr>
      </w:pPr>
      <w:r>
        <w:rPr>
          <w:rFonts w:hint="eastAsia" w:ascii="宋体" w:hAnsi="宋体" w:cs="宋体"/>
          <w:b/>
          <w:bCs/>
          <w:sz w:val="36"/>
          <w:szCs w:val="36"/>
        </w:rPr>
        <w:br w:type="page"/>
      </w:r>
      <w:r>
        <w:rPr>
          <w:rFonts w:hint="eastAsia" w:ascii="宋体" w:hAnsi="宋体" w:cs="宋体"/>
          <w:b/>
          <w:bCs/>
          <w:sz w:val="36"/>
          <w:szCs w:val="36"/>
        </w:rPr>
        <w:t>目</w:t>
      </w:r>
      <w:r>
        <w:rPr>
          <w:rFonts w:ascii="宋体" w:hAnsi="宋体" w:cs="宋体"/>
          <w:b/>
          <w:bCs/>
          <w:sz w:val="36"/>
          <w:szCs w:val="36"/>
        </w:rPr>
        <w:t xml:space="preserve">    </w:t>
      </w:r>
      <w:r>
        <w:rPr>
          <w:rFonts w:hint="eastAsia" w:ascii="宋体" w:hAnsi="宋体" w:cs="宋体"/>
          <w:b/>
          <w:bCs/>
          <w:sz w:val="36"/>
          <w:szCs w:val="36"/>
        </w:rPr>
        <w:t>录</w:t>
      </w:r>
    </w:p>
    <w:p>
      <w:pPr>
        <w:pStyle w:val="52"/>
        <w:tabs>
          <w:tab w:val="right" w:leader="dot" w:pos="9071"/>
        </w:tabs>
        <w:ind w:firstLine="482"/>
      </w:pPr>
      <w:r>
        <w:rPr>
          <w:rFonts w:hint="eastAsia" w:ascii="宋体" w:hAnsi="宋体" w:cs="宋体"/>
          <w:i/>
          <w:caps w:val="0"/>
          <w:szCs w:val="24"/>
        </w:rPr>
        <w:fldChar w:fldCharType="begin"/>
      </w:r>
      <w:r>
        <w:rPr>
          <w:rFonts w:hint="eastAsia" w:ascii="宋体" w:hAnsi="宋体" w:cs="宋体"/>
          <w:i/>
          <w:caps w:val="0"/>
          <w:szCs w:val="24"/>
        </w:rPr>
        <w:instrText xml:space="preserve">TOC \o "1-2" \h \u </w:instrText>
      </w:r>
      <w:r>
        <w:rPr>
          <w:rFonts w:hint="eastAsia" w:ascii="宋体" w:hAnsi="宋体" w:cs="宋体"/>
          <w:i/>
          <w:caps w:val="0"/>
          <w:szCs w:val="24"/>
        </w:rPr>
        <w:fldChar w:fldCharType="separate"/>
      </w:r>
      <w:r>
        <w:fldChar w:fldCharType="begin"/>
      </w:r>
      <w:r>
        <w:instrText xml:space="preserve"> HYPERLINK \l "_Toc22385" </w:instrText>
      </w:r>
      <w:r>
        <w:fldChar w:fldCharType="separate"/>
      </w:r>
      <w:r>
        <w:t xml:space="preserve">第1章 </w:t>
      </w:r>
      <w:r>
        <w:rPr>
          <w:rFonts w:hint="eastAsia"/>
        </w:rPr>
        <w:t>招标公告</w:t>
      </w:r>
      <w:r>
        <w:tab/>
      </w:r>
      <w:r>
        <w:fldChar w:fldCharType="begin"/>
      </w:r>
      <w:r>
        <w:instrText xml:space="preserve"> PAGEREF _Toc22385 \h </w:instrText>
      </w:r>
      <w:r>
        <w:fldChar w:fldCharType="separate"/>
      </w:r>
      <w:r>
        <w:t>1</w:t>
      </w:r>
      <w:r>
        <w:fldChar w:fldCharType="end"/>
      </w:r>
      <w:r>
        <w:fldChar w:fldCharType="end"/>
      </w:r>
    </w:p>
    <w:p>
      <w:pPr>
        <w:pStyle w:val="62"/>
        <w:tabs>
          <w:tab w:val="right" w:leader="dot" w:pos="9071"/>
        </w:tabs>
        <w:spacing w:line="240" w:lineRule="auto"/>
      </w:pPr>
      <w:r>
        <w:fldChar w:fldCharType="begin"/>
      </w:r>
      <w:r>
        <w:instrText xml:space="preserve"> HYPERLINK \l "_Toc12431" </w:instrText>
      </w:r>
      <w:r>
        <w:fldChar w:fldCharType="separate"/>
      </w:r>
      <w:r>
        <w:rPr>
          <w:szCs w:val="28"/>
        </w:rPr>
        <w:t xml:space="preserve">1.1 </w:t>
      </w:r>
      <w:r>
        <w:rPr>
          <w:rFonts w:hint="eastAsia"/>
          <w:szCs w:val="28"/>
        </w:rPr>
        <w:t>项目名称及项目编号</w:t>
      </w:r>
      <w:r>
        <w:tab/>
      </w:r>
      <w:r>
        <w:fldChar w:fldCharType="begin"/>
      </w:r>
      <w:r>
        <w:instrText xml:space="preserve"> PAGEREF _Toc12431 \h </w:instrText>
      </w:r>
      <w:r>
        <w:fldChar w:fldCharType="separate"/>
      </w:r>
      <w:r>
        <w:t>1</w:t>
      </w:r>
      <w:r>
        <w:fldChar w:fldCharType="end"/>
      </w:r>
      <w:r>
        <w:fldChar w:fldCharType="end"/>
      </w:r>
    </w:p>
    <w:p>
      <w:pPr>
        <w:pStyle w:val="62"/>
        <w:tabs>
          <w:tab w:val="right" w:leader="dot" w:pos="9071"/>
        </w:tabs>
        <w:spacing w:line="240" w:lineRule="auto"/>
      </w:pPr>
      <w:r>
        <w:fldChar w:fldCharType="begin"/>
      </w:r>
      <w:r>
        <w:instrText xml:space="preserve"> HYPERLINK \l "_Toc21396" </w:instrText>
      </w:r>
      <w:r>
        <w:fldChar w:fldCharType="separate"/>
      </w:r>
      <w:r>
        <w:rPr>
          <w:szCs w:val="28"/>
        </w:rPr>
        <w:t xml:space="preserve">1.2 </w:t>
      </w:r>
      <w:r>
        <w:rPr>
          <w:rFonts w:hint="eastAsia"/>
          <w:szCs w:val="28"/>
        </w:rPr>
        <w:t>招标形式：邀请招标</w:t>
      </w:r>
      <w:r>
        <w:tab/>
      </w:r>
      <w:r>
        <w:fldChar w:fldCharType="begin"/>
      </w:r>
      <w:r>
        <w:instrText xml:space="preserve"> PAGEREF _Toc21396 \h </w:instrText>
      </w:r>
      <w:r>
        <w:fldChar w:fldCharType="separate"/>
      </w:r>
      <w:r>
        <w:t>1</w:t>
      </w:r>
      <w:r>
        <w:fldChar w:fldCharType="end"/>
      </w:r>
      <w:r>
        <w:fldChar w:fldCharType="end"/>
      </w:r>
    </w:p>
    <w:p>
      <w:pPr>
        <w:pStyle w:val="62"/>
        <w:tabs>
          <w:tab w:val="right" w:leader="dot" w:pos="9071"/>
        </w:tabs>
        <w:spacing w:line="240" w:lineRule="auto"/>
      </w:pPr>
      <w:r>
        <w:fldChar w:fldCharType="begin"/>
      </w:r>
      <w:r>
        <w:instrText xml:space="preserve"> HYPERLINK \l "_Toc7702" </w:instrText>
      </w:r>
      <w:r>
        <w:fldChar w:fldCharType="separate"/>
      </w:r>
      <w:r>
        <w:rPr>
          <w:szCs w:val="28"/>
        </w:rPr>
        <w:t xml:space="preserve">1.3 </w:t>
      </w:r>
      <w:r>
        <w:rPr>
          <w:rFonts w:hint="eastAsia"/>
          <w:szCs w:val="28"/>
        </w:rPr>
        <w:t>投标人资格要求</w:t>
      </w:r>
      <w:r>
        <w:tab/>
      </w:r>
      <w:r>
        <w:fldChar w:fldCharType="begin"/>
      </w:r>
      <w:r>
        <w:instrText xml:space="preserve"> PAGEREF _Toc7702 \h </w:instrText>
      </w:r>
      <w:r>
        <w:fldChar w:fldCharType="separate"/>
      </w:r>
      <w:r>
        <w:t>1</w:t>
      </w:r>
      <w:r>
        <w:fldChar w:fldCharType="end"/>
      </w:r>
      <w:r>
        <w:fldChar w:fldCharType="end"/>
      </w:r>
    </w:p>
    <w:p>
      <w:pPr>
        <w:pStyle w:val="62"/>
        <w:tabs>
          <w:tab w:val="right" w:leader="dot" w:pos="9071"/>
        </w:tabs>
        <w:spacing w:line="240" w:lineRule="auto"/>
      </w:pPr>
      <w:r>
        <w:fldChar w:fldCharType="begin"/>
      </w:r>
      <w:r>
        <w:instrText xml:space="preserve"> HYPERLINK \l "_Toc10192" </w:instrText>
      </w:r>
      <w:r>
        <w:fldChar w:fldCharType="separate"/>
      </w:r>
      <w:r>
        <w:rPr>
          <w:szCs w:val="28"/>
        </w:rPr>
        <w:t xml:space="preserve">1.4 </w:t>
      </w:r>
      <w:r>
        <w:rPr>
          <w:rFonts w:hint="eastAsia"/>
          <w:szCs w:val="28"/>
        </w:rPr>
        <w:t>招标文件的获取</w:t>
      </w:r>
      <w:r>
        <w:tab/>
      </w:r>
      <w:r>
        <w:fldChar w:fldCharType="begin"/>
      </w:r>
      <w:r>
        <w:instrText xml:space="preserve"> PAGEREF _Toc10192 \h </w:instrText>
      </w:r>
      <w:r>
        <w:fldChar w:fldCharType="separate"/>
      </w:r>
      <w:r>
        <w:t>3</w:t>
      </w:r>
      <w:r>
        <w:fldChar w:fldCharType="end"/>
      </w:r>
      <w:r>
        <w:fldChar w:fldCharType="end"/>
      </w:r>
    </w:p>
    <w:p>
      <w:pPr>
        <w:pStyle w:val="62"/>
        <w:tabs>
          <w:tab w:val="right" w:leader="dot" w:pos="9071"/>
        </w:tabs>
        <w:spacing w:line="240" w:lineRule="auto"/>
      </w:pPr>
      <w:r>
        <w:fldChar w:fldCharType="begin"/>
      </w:r>
      <w:r>
        <w:instrText xml:space="preserve"> HYPERLINK \l "_Toc788" </w:instrText>
      </w:r>
      <w:r>
        <w:fldChar w:fldCharType="separate"/>
      </w:r>
      <w:r>
        <w:rPr>
          <w:szCs w:val="28"/>
        </w:rPr>
        <w:t xml:space="preserve">1.5 </w:t>
      </w:r>
      <w:r>
        <w:rPr>
          <w:rFonts w:hint="eastAsia"/>
          <w:szCs w:val="28"/>
        </w:rPr>
        <w:t>投标文件的递交</w:t>
      </w:r>
      <w:r>
        <w:tab/>
      </w:r>
      <w:r>
        <w:fldChar w:fldCharType="begin"/>
      </w:r>
      <w:r>
        <w:instrText xml:space="preserve"> PAGEREF _Toc788 \h </w:instrText>
      </w:r>
      <w:r>
        <w:fldChar w:fldCharType="separate"/>
      </w:r>
      <w:r>
        <w:t>3</w:t>
      </w:r>
      <w:r>
        <w:fldChar w:fldCharType="end"/>
      </w:r>
      <w:r>
        <w:fldChar w:fldCharType="end"/>
      </w:r>
    </w:p>
    <w:p>
      <w:pPr>
        <w:pStyle w:val="62"/>
        <w:tabs>
          <w:tab w:val="right" w:leader="dot" w:pos="9071"/>
        </w:tabs>
        <w:spacing w:line="240" w:lineRule="auto"/>
      </w:pPr>
      <w:r>
        <w:fldChar w:fldCharType="begin"/>
      </w:r>
      <w:r>
        <w:instrText xml:space="preserve"> HYPERLINK \l "_Toc11104" </w:instrText>
      </w:r>
      <w:r>
        <w:fldChar w:fldCharType="separate"/>
      </w:r>
      <w:r>
        <w:rPr>
          <w:szCs w:val="28"/>
        </w:rPr>
        <w:t xml:space="preserve">1.6 </w:t>
      </w:r>
      <w:r>
        <w:rPr>
          <w:rFonts w:hint="eastAsia"/>
          <w:szCs w:val="28"/>
        </w:rPr>
        <w:t>开标时间和地点</w:t>
      </w:r>
      <w:r>
        <w:tab/>
      </w:r>
      <w:r>
        <w:fldChar w:fldCharType="begin"/>
      </w:r>
      <w:r>
        <w:instrText xml:space="preserve"> PAGEREF _Toc11104 \h </w:instrText>
      </w:r>
      <w:r>
        <w:fldChar w:fldCharType="separate"/>
      </w:r>
      <w:r>
        <w:t>3</w:t>
      </w:r>
      <w:r>
        <w:fldChar w:fldCharType="end"/>
      </w:r>
      <w:r>
        <w:fldChar w:fldCharType="end"/>
      </w:r>
    </w:p>
    <w:p>
      <w:pPr>
        <w:pStyle w:val="62"/>
        <w:tabs>
          <w:tab w:val="right" w:leader="dot" w:pos="9071"/>
        </w:tabs>
        <w:spacing w:line="240" w:lineRule="auto"/>
      </w:pPr>
      <w:r>
        <w:fldChar w:fldCharType="begin"/>
      </w:r>
      <w:r>
        <w:instrText xml:space="preserve"> HYPERLINK \l "_Toc23007" </w:instrText>
      </w:r>
      <w:r>
        <w:fldChar w:fldCharType="separate"/>
      </w:r>
      <w:r>
        <w:rPr>
          <w:szCs w:val="28"/>
        </w:rPr>
        <w:t xml:space="preserve">1.7 </w:t>
      </w:r>
      <w:r>
        <w:rPr>
          <w:rFonts w:hint="eastAsia"/>
          <w:szCs w:val="28"/>
        </w:rPr>
        <w:t>联系方式</w:t>
      </w:r>
      <w:r>
        <w:tab/>
      </w:r>
      <w:r>
        <w:fldChar w:fldCharType="begin"/>
      </w:r>
      <w:r>
        <w:instrText xml:space="preserve"> PAGEREF _Toc23007 \h </w:instrText>
      </w:r>
      <w:r>
        <w:fldChar w:fldCharType="separate"/>
      </w:r>
      <w:r>
        <w:t>3</w:t>
      </w:r>
      <w:r>
        <w:fldChar w:fldCharType="end"/>
      </w:r>
      <w:r>
        <w:fldChar w:fldCharType="end"/>
      </w:r>
    </w:p>
    <w:p>
      <w:pPr>
        <w:pStyle w:val="62"/>
        <w:tabs>
          <w:tab w:val="right" w:leader="dot" w:pos="9071"/>
        </w:tabs>
        <w:spacing w:line="240" w:lineRule="auto"/>
      </w:pPr>
      <w:r>
        <w:fldChar w:fldCharType="begin"/>
      </w:r>
      <w:r>
        <w:instrText xml:space="preserve"> HYPERLINK \l "_Toc5930" </w:instrText>
      </w:r>
      <w:r>
        <w:fldChar w:fldCharType="separate"/>
      </w:r>
      <w:r>
        <w:rPr>
          <w:szCs w:val="28"/>
        </w:rPr>
        <w:t xml:space="preserve">1.8 </w:t>
      </w:r>
      <w:r>
        <w:rPr>
          <w:rFonts w:hint="eastAsia"/>
          <w:szCs w:val="28"/>
        </w:rPr>
        <w:t>投标保证金</w:t>
      </w:r>
      <w:r>
        <w:tab/>
      </w:r>
      <w:r>
        <w:fldChar w:fldCharType="begin"/>
      </w:r>
      <w:r>
        <w:instrText xml:space="preserve"> PAGEREF _Toc5930 \h </w:instrText>
      </w:r>
      <w:r>
        <w:fldChar w:fldCharType="separate"/>
      </w:r>
      <w:r>
        <w:t>3</w:t>
      </w:r>
      <w:r>
        <w:fldChar w:fldCharType="end"/>
      </w:r>
      <w:r>
        <w:fldChar w:fldCharType="end"/>
      </w:r>
    </w:p>
    <w:p>
      <w:pPr>
        <w:pStyle w:val="52"/>
        <w:tabs>
          <w:tab w:val="right" w:leader="dot" w:pos="9071"/>
        </w:tabs>
        <w:ind w:firstLine="482"/>
      </w:pPr>
      <w:r>
        <w:fldChar w:fldCharType="begin"/>
      </w:r>
      <w:r>
        <w:instrText xml:space="preserve"> HYPERLINK \l "_Toc2083" </w:instrText>
      </w:r>
      <w:r>
        <w:fldChar w:fldCharType="separate"/>
      </w:r>
      <w:r>
        <w:t xml:space="preserve">第2章 </w:t>
      </w:r>
      <w:r>
        <w:rPr>
          <w:rFonts w:hint="eastAsia"/>
        </w:rPr>
        <w:t>投标人须知</w:t>
      </w:r>
      <w:r>
        <w:tab/>
      </w:r>
      <w:r>
        <w:fldChar w:fldCharType="begin"/>
      </w:r>
      <w:r>
        <w:instrText xml:space="preserve"> PAGEREF _Toc2083 \h </w:instrText>
      </w:r>
      <w:r>
        <w:fldChar w:fldCharType="separate"/>
      </w:r>
      <w:r>
        <w:t>4</w:t>
      </w:r>
      <w:r>
        <w:fldChar w:fldCharType="end"/>
      </w:r>
      <w:r>
        <w:fldChar w:fldCharType="end"/>
      </w:r>
    </w:p>
    <w:p>
      <w:pPr>
        <w:pStyle w:val="62"/>
        <w:tabs>
          <w:tab w:val="right" w:leader="dot" w:pos="9071"/>
        </w:tabs>
        <w:spacing w:line="240" w:lineRule="auto"/>
      </w:pPr>
      <w:r>
        <w:fldChar w:fldCharType="begin"/>
      </w:r>
      <w:r>
        <w:instrText xml:space="preserve"> HYPERLINK \l "_Toc28952" </w:instrText>
      </w:r>
      <w:r>
        <w:fldChar w:fldCharType="separate"/>
      </w:r>
      <w:r>
        <w:rPr>
          <w:szCs w:val="28"/>
        </w:rPr>
        <w:t xml:space="preserve">2.1 </w:t>
      </w:r>
      <w:r>
        <w:rPr>
          <w:rFonts w:hint="eastAsia"/>
          <w:szCs w:val="28"/>
        </w:rPr>
        <w:t>投标人须知前附表</w:t>
      </w:r>
      <w:r>
        <w:tab/>
      </w:r>
      <w:r>
        <w:fldChar w:fldCharType="begin"/>
      </w:r>
      <w:r>
        <w:instrText xml:space="preserve"> PAGEREF _Toc28952 \h </w:instrText>
      </w:r>
      <w:r>
        <w:fldChar w:fldCharType="separate"/>
      </w:r>
      <w:r>
        <w:t>4</w:t>
      </w:r>
      <w:r>
        <w:fldChar w:fldCharType="end"/>
      </w:r>
      <w:r>
        <w:fldChar w:fldCharType="end"/>
      </w:r>
    </w:p>
    <w:p>
      <w:pPr>
        <w:pStyle w:val="62"/>
        <w:tabs>
          <w:tab w:val="right" w:leader="dot" w:pos="9071"/>
        </w:tabs>
        <w:spacing w:line="240" w:lineRule="auto"/>
      </w:pPr>
      <w:r>
        <w:fldChar w:fldCharType="begin"/>
      </w:r>
      <w:r>
        <w:instrText xml:space="preserve"> HYPERLINK \l "_Toc8010" </w:instrText>
      </w:r>
      <w:r>
        <w:fldChar w:fldCharType="separate"/>
      </w:r>
      <w:r>
        <w:rPr>
          <w:szCs w:val="28"/>
        </w:rPr>
        <w:t xml:space="preserve">2.2 </w:t>
      </w:r>
      <w:r>
        <w:rPr>
          <w:rFonts w:hint="eastAsia"/>
          <w:szCs w:val="28"/>
        </w:rPr>
        <w:t>投标文件编写</w:t>
      </w:r>
      <w:r>
        <w:tab/>
      </w:r>
      <w:r>
        <w:fldChar w:fldCharType="begin"/>
      </w:r>
      <w:r>
        <w:instrText xml:space="preserve"> PAGEREF _Toc8010 \h </w:instrText>
      </w:r>
      <w:r>
        <w:fldChar w:fldCharType="separate"/>
      </w:r>
      <w:r>
        <w:t>7</w:t>
      </w:r>
      <w:r>
        <w:fldChar w:fldCharType="end"/>
      </w:r>
      <w:r>
        <w:fldChar w:fldCharType="end"/>
      </w:r>
    </w:p>
    <w:p>
      <w:pPr>
        <w:pStyle w:val="62"/>
        <w:tabs>
          <w:tab w:val="right" w:leader="dot" w:pos="9071"/>
        </w:tabs>
        <w:spacing w:line="240" w:lineRule="auto"/>
      </w:pPr>
      <w:r>
        <w:fldChar w:fldCharType="begin"/>
      </w:r>
      <w:r>
        <w:instrText xml:space="preserve"> HYPERLINK \l "_Toc17263" </w:instrText>
      </w:r>
      <w:r>
        <w:fldChar w:fldCharType="separate"/>
      </w:r>
      <w:r>
        <w:rPr>
          <w:szCs w:val="28"/>
        </w:rPr>
        <w:t xml:space="preserve">2.3 </w:t>
      </w:r>
      <w:r>
        <w:rPr>
          <w:rFonts w:hint="eastAsia"/>
          <w:szCs w:val="28"/>
        </w:rPr>
        <w:t>开标与评标</w:t>
      </w:r>
      <w:r>
        <w:tab/>
      </w:r>
      <w:r>
        <w:fldChar w:fldCharType="begin"/>
      </w:r>
      <w:r>
        <w:instrText xml:space="preserve"> PAGEREF _Toc17263 \h </w:instrText>
      </w:r>
      <w:r>
        <w:fldChar w:fldCharType="separate"/>
      </w:r>
      <w:r>
        <w:t>9</w:t>
      </w:r>
      <w:r>
        <w:fldChar w:fldCharType="end"/>
      </w:r>
      <w:r>
        <w:fldChar w:fldCharType="end"/>
      </w:r>
    </w:p>
    <w:p>
      <w:pPr>
        <w:pStyle w:val="62"/>
        <w:tabs>
          <w:tab w:val="right" w:leader="dot" w:pos="9071"/>
        </w:tabs>
        <w:spacing w:line="240" w:lineRule="auto"/>
      </w:pPr>
      <w:r>
        <w:fldChar w:fldCharType="begin"/>
      </w:r>
      <w:r>
        <w:instrText xml:space="preserve"> HYPERLINK \l "_Toc19712" </w:instrText>
      </w:r>
      <w:r>
        <w:fldChar w:fldCharType="separate"/>
      </w:r>
      <w:r>
        <w:rPr>
          <w:szCs w:val="28"/>
        </w:rPr>
        <w:t xml:space="preserve">2.4 </w:t>
      </w:r>
      <w:r>
        <w:rPr>
          <w:rFonts w:hint="eastAsia" w:ascii="宋体" w:hAnsi="宋体" w:cs="宋体"/>
          <w:szCs w:val="28"/>
        </w:rPr>
        <w:t>中标人瑕疵滞后发现的处理原则</w:t>
      </w:r>
      <w:r>
        <w:tab/>
      </w:r>
      <w:r>
        <w:fldChar w:fldCharType="begin"/>
      </w:r>
      <w:r>
        <w:instrText xml:space="preserve"> PAGEREF _Toc19712 \h </w:instrText>
      </w:r>
      <w:r>
        <w:fldChar w:fldCharType="separate"/>
      </w:r>
      <w:r>
        <w:t>11</w:t>
      </w:r>
      <w:r>
        <w:fldChar w:fldCharType="end"/>
      </w:r>
      <w:r>
        <w:fldChar w:fldCharType="end"/>
      </w:r>
    </w:p>
    <w:p>
      <w:pPr>
        <w:pStyle w:val="52"/>
        <w:tabs>
          <w:tab w:val="right" w:leader="dot" w:pos="9071"/>
        </w:tabs>
        <w:ind w:firstLine="482"/>
      </w:pPr>
      <w:r>
        <w:fldChar w:fldCharType="begin"/>
      </w:r>
      <w:r>
        <w:instrText xml:space="preserve"> HYPERLINK \l "_Toc1982" </w:instrText>
      </w:r>
      <w:r>
        <w:fldChar w:fldCharType="separate"/>
      </w:r>
      <w:r>
        <w:t xml:space="preserve">第3章 </w:t>
      </w:r>
      <w:r>
        <w:rPr>
          <w:rFonts w:hint="eastAsia"/>
        </w:rPr>
        <w:t>招标项目内容及运输费用标准</w:t>
      </w:r>
      <w:r>
        <w:tab/>
      </w:r>
      <w:r>
        <w:fldChar w:fldCharType="begin"/>
      </w:r>
      <w:r>
        <w:instrText xml:space="preserve"> PAGEREF _Toc1982 \h </w:instrText>
      </w:r>
      <w:r>
        <w:fldChar w:fldCharType="separate"/>
      </w:r>
      <w:r>
        <w:t>11</w:t>
      </w:r>
      <w:r>
        <w:fldChar w:fldCharType="end"/>
      </w:r>
      <w:r>
        <w:fldChar w:fldCharType="end"/>
      </w:r>
    </w:p>
    <w:p>
      <w:pPr>
        <w:pStyle w:val="62"/>
        <w:tabs>
          <w:tab w:val="right" w:leader="dot" w:pos="9071"/>
        </w:tabs>
        <w:spacing w:line="240" w:lineRule="auto"/>
      </w:pPr>
      <w:r>
        <w:fldChar w:fldCharType="begin"/>
      </w:r>
      <w:r>
        <w:instrText xml:space="preserve"> HYPERLINK \l "_Toc25824" </w:instrText>
      </w:r>
      <w:r>
        <w:fldChar w:fldCharType="separate"/>
      </w:r>
      <w:r>
        <w:rPr>
          <w:rFonts w:hint="eastAsia"/>
          <w:szCs w:val="28"/>
        </w:rPr>
        <w:t>3.1项目内容</w:t>
      </w:r>
      <w:r>
        <w:tab/>
      </w:r>
      <w:r>
        <w:fldChar w:fldCharType="begin"/>
      </w:r>
      <w:r>
        <w:instrText xml:space="preserve"> PAGEREF _Toc25824 \h </w:instrText>
      </w:r>
      <w:r>
        <w:fldChar w:fldCharType="separate"/>
      </w:r>
      <w:r>
        <w:t>11</w:t>
      </w:r>
      <w:r>
        <w:fldChar w:fldCharType="end"/>
      </w:r>
      <w:r>
        <w:fldChar w:fldCharType="end"/>
      </w:r>
    </w:p>
    <w:p>
      <w:pPr>
        <w:pStyle w:val="62"/>
        <w:tabs>
          <w:tab w:val="right" w:leader="dot" w:pos="9071"/>
        </w:tabs>
        <w:spacing w:line="240" w:lineRule="auto"/>
      </w:pPr>
      <w:r>
        <w:fldChar w:fldCharType="begin"/>
      </w:r>
      <w:r>
        <w:instrText xml:space="preserve"> HYPERLINK \l "_Toc10838" </w:instrText>
      </w:r>
      <w:r>
        <w:fldChar w:fldCharType="separate"/>
      </w:r>
      <w:r>
        <w:rPr>
          <w:rFonts w:hint="eastAsia"/>
          <w:szCs w:val="28"/>
        </w:rPr>
        <w:t>3.2项目存放管理费用标准</w:t>
      </w:r>
      <w:r>
        <w:tab/>
      </w:r>
      <w:r>
        <w:rPr>
          <w:rFonts w:hint="eastAsia"/>
        </w:rPr>
        <w:t>1</w:t>
      </w:r>
      <w:r>
        <w:rPr>
          <w:rFonts w:hint="eastAsia"/>
        </w:rPr>
        <w:fldChar w:fldCharType="end"/>
      </w:r>
      <w:r>
        <w:rPr>
          <w:rFonts w:hint="eastAsia"/>
        </w:rPr>
        <w:t>1</w:t>
      </w:r>
    </w:p>
    <w:p>
      <w:pPr>
        <w:pStyle w:val="52"/>
        <w:tabs>
          <w:tab w:val="right" w:leader="dot" w:pos="9071"/>
        </w:tabs>
        <w:ind w:firstLine="482"/>
      </w:pPr>
      <w:r>
        <w:fldChar w:fldCharType="begin"/>
      </w:r>
      <w:r>
        <w:instrText xml:space="preserve"> HYPERLINK \l "_Toc15428" </w:instrText>
      </w:r>
      <w:r>
        <w:fldChar w:fldCharType="separate"/>
      </w:r>
      <w:r>
        <w:t xml:space="preserve">第4章 </w:t>
      </w:r>
      <w:r>
        <w:rPr>
          <w:rFonts w:hint="eastAsia"/>
        </w:rPr>
        <w:t>报价及相关要求</w:t>
      </w:r>
      <w:r>
        <w:tab/>
      </w:r>
      <w:r>
        <w:fldChar w:fldCharType="begin"/>
      </w:r>
      <w:r>
        <w:instrText xml:space="preserve"> PAGEREF _Toc15428 \h </w:instrText>
      </w:r>
      <w:r>
        <w:fldChar w:fldCharType="separate"/>
      </w:r>
      <w:r>
        <w:t>11</w:t>
      </w:r>
      <w:r>
        <w:fldChar w:fldCharType="end"/>
      </w:r>
      <w:r>
        <w:fldChar w:fldCharType="end"/>
      </w:r>
    </w:p>
    <w:p>
      <w:pPr>
        <w:pStyle w:val="62"/>
        <w:tabs>
          <w:tab w:val="right" w:leader="dot" w:pos="9071"/>
        </w:tabs>
        <w:spacing w:line="240" w:lineRule="auto"/>
      </w:pPr>
      <w:r>
        <w:fldChar w:fldCharType="begin"/>
      </w:r>
      <w:r>
        <w:instrText xml:space="preserve"> HYPERLINK \l "_Toc3776" </w:instrText>
      </w:r>
      <w:r>
        <w:fldChar w:fldCharType="separate"/>
      </w:r>
      <w:r>
        <w:rPr>
          <w:rFonts w:hint="eastAsia"/>
          <w:szCs w:val="28"/>
        </w:rPr>
        <w:t xml:space="preserve">4.1 </w:t>
      </w:r>
      <w:r>
        <w:rPr>
          <w:rFonts w:hint="eastAsia" w:ascii="宋体" w:hAnsi="宋体" w:cs="宋体"/>
          <w:szCs w:val="28"/>
        </w:rPr>
        <w:t>报价要求</w:t>
      </w:r>
      <w:r>
        <w:tab/>
      </w:r>
      <w:r>
        <w:fldChar w:fldCharType="begin"/>
      </w:r>
      <w:r>
        <w:instrText xml:space="preserve"> PAGEREF _Toc3776 \h </w:instrText>
      </w:r>
      <w:r>
        <w:fldChar w:fldCharType="separate"/>
      </w:r>
      <w:r>
        <w:t>12</w:t>
      </w:r>
      <w:r>
        <w:fldChar w:fldCharType="end"/>
      </w:r>
      <w:r>
        <w:fldChar w:fldCharType="end"/>
      </w:r>
    </w:p>
    <w:p>
      <w:pPr>
        <w:pStyle w:val="52"/>
        <w:tabs>
          <w:tab w:val="right" w:leader="dot" w:pos="9071"/>
        </w:tabs>
        <w:ind w:firstLine="482"/>
      </w:pPr>
      <w:r>
        <w:fldChar w:fldCharType="begin"/>
      </w:r>
      <w:r>
        <w:instrText xml:space="preserve"> HYPERLINK \l "_Toc7748" </w:instrText>
      </w:r>
      <w:r>
        <w:fldChar w:fldCharType="separate"/>
      </w:r>
      <w:r>
        <w:t xml:space="preserve">第5章 </w:t>
      </w:r>
      <w:r>
        <w:rPr>
          <w:rFonts w:hint="eastAsia"/>
        </w:rPr>
        <w:t>评分标准</w:t>
      </w:r>
      <w:r>
        <w:tab/>
      </w:r>
      <w:r>
        <w:fldChar w:fldCharType="begin"/>
      </w:r>
      <w:r>
        <w:instrText xml:space="preserve"> PAGEREF _Toc7748 \h </w:instrText>
      </w:r>
      <w:r>
        <w:fldChar w:fldCharType="separate"/>
      </w:r>
      <w:r>
        <w:t>12</w:t>
      </w:r>
      <w:r>
        <w:fldChar w:fldCharType="end"/>
      </w:r>
      <w:r>
        <w:fldChar w:fldCharType="end"/>
      </w:r>
    </w:p>
    <w:p>
      <w:pPr>
        <w:pStyle w:val="52"/>
        <w:tabs>
          <w:tab w:val="right" w:leader="dot" w:pos="9071"/>
        </w:tabs>
        <w:ind w:firstLine="482"/>
      </w:pPr>
      <w:r>
        <w:fldChar w:fldCharType="begin"/>
      </w:r>
      <w:r>
        <w:instrText xml:space="preserve"> HYPERLINK \l "_Toc27774" </w:instrText>
      </w:r>
      <w:r>
        <w:fldChar w:fldCharType="separate"/>
      </w:r>
      <w:r>
        <w:t xml:space="preserve">第6章 </w:t>
      </w:r>
      <w:r>
        <w:rPr>
          <w:rFonts w:hint="eastAsia"/>
        </w:rPr>
        <w:t>商品车运输合同</w:t>
      </w:r>
      <w:r>
        <w:tab/>
      </w:r>
      <w:r>
        <w:fldChar w:fldCharType="begin"/>
      </w:r>
      <w:r>
        <w:instrText xml:space="preserve"> PAGEREF _Toc27774 \h </w:instrText>
      </w:r>
      <w:r>
        <w:fldChar w:fldCharType="separate"/>
      </w:r>
      <w:r>
        <w:t>14</w:t>
      </w:r>
      <w:r>
        <w:fldChar w:fldCharType="end"/>
      </w:r>
      <w:r>
        <w:fldChar w:fldCharType="end"/>
      </w:r>
    </w:p>
    <w:p>
      <w:pPr>
        <w:pStyle w:val="52"/>
        <w:tabs>
          <w:tab w:val="right" w:leader="dot" w:pos="9071"/>
        </w:tabs>
        <w:ind w:firstLine="482"/>
      </w:pPr>
      <w:r>
        <w:fldChar w:fldCharType="begin"/>
      </w:r>
      <w:r>
        <w:instrText xml:space="preserve"> HYPERLINK \l "_Toc5743" </w:instrText>
      </w:r>
      <w:r>
        <w:fldChar w:fldCharType="separate"/>
      </w:r>
      <w:r>
        <w:rPr>
          <w:rFonts w:hint="eastAsia"/>
        </w:rPr>
        <w:t>第7章  附件</w:t>
      </w:r>
      <w:r>
        <w:tab/>
      </w:r>
      <w:r>
        <w:rPr>
          <w:rFonts w:hint="eastAsia"/>
        </w:rPr>
        <w:t>1</w:t>
      </w:r>
      <w:r>
        <w:rPr>
          <w:rFonts w:hint="eastAsia"/>
        </w:rPr>
        <w:fldChar w:fldCharType="end"/>
      </w:r>
      <w:r>
        <w:rPr>
          <w:rFonts w:hint="eastAsia"/>
        </w:rPr>
        <w:t>9</w:t>
      </w:r>
    </w:p>
    <w:p>
      <w:pPr>
        <w:pStyle w:val="62"/>
        <w:tabs>
          <w:tab w:val="right" w:leader="dot" w:pos="9071"/>
        </w:tabs>
        <w:spacing w:line="240" w:lineRule="auto"/>
      </w:pPr>
      <w:r>
        <w:fldChar w:fldCharType="begin"/>
      </w:r>
      <w:r>
        <w:instrText xml:space="preserve"> HYPERLINK \l "_Toc31217" </w:instrText>
      </w:r>
      <w:r>
        <w:fldChar w:fldCharType="separate"/>
      </w:r>
      <w:r>
        <w:rPr>
          <w:rFonts w:hint="eastAsia"/>
          <w:kern w:val="0"/>
        </w:rPr>
        <w:t>7.1附件1：开标一览表</w:t>
      </w:r>
      <w:r>
        <w:tab/>
      </w:r>
      <w:r>
        <w:rPr>
          <w:rFonts w:hint="eastAsia"/>
        </w:rPr>
        <w:t>1</w:t>
      </w:r>
      <w:r>
        <w:rPr>
          <w:rFonts w:hint="eastAsia"/>
        </w:rPr>
        <w:fldChar w:fldCharType="end"/>
      </w:r>
      <w:r>
        <w:rPr>
          <w:rFonts w:hint="eastAsia"/>
        </w:rPr>
        <w:t>9</w:t>
      </w:r>
    </w:p>
    <w:p>
      <w:pPr>
        <w:pStyle w:val="62"/>
        <w:tabs>
          <w:tab w:val="right" w:leader="dot" w:pos="9071"/>
        </w:tabs>
        <w:spacing w:line="240" w:lineRule="auto"/>
      </w:pPr>
      <w:r>
        <w:fldChar w:fldCharType="begin"/>
      </w:r>
      <w:r>
        <w:instrText xml:space="preserve"> HYPERLINK \l "_Toc31217" </w:instrText>
      </w:r>
      <w:r>
        <w:fldChar w:fldCharType="separate"/>
      </w:r>
      <w:r>
        <w:rPr>
          <w:rFonts w:hint="eastAsia"/>
          <w:kern w:val="0"/>
        </w:rPr>
        <w:t>7.2附件2：投标函</w:t>
      </w:r>
      <w:r>
        <w:tab/>
      </w:r>
      <w:r>
        <w:rPr>
          <w:rFonts w:hint="eastAsia"/>
        </w:rPr>
        <w:t>1</w:t>
      </w:r>
      <w:r>
        <w:rPr>
          <w:rFonts w:hint="eastAsia"/>
        </w:rPr>
        <w:fldChar w:fldCharType="end"/>
      </w:r>
      <w:r>
        <w:rPr>
          <w:rFonts w:hint="eastAsia"/>
        </w:rPr>
        <w:t>9</w:t>
      </w:r>
    </w:p>
    <w:p>
      <w:pPr>
        <w:pStyle w:val="62"/>
        <w:tabs>
          <w:tab w:val="right" w:leader="dot" w:pos="9071"/>
        </w:tabs>
        <w:spacing w:line="240" w:lineRule="auto"/>
      </w:pPr>
      <w:r>
        <w:fldChar w:fldCharType="begin"/>
      </w:r>
      <w:r>
        <w:instrText xml:space="preserve"> HYPERLINK \l "_Toc3545" </w:instrText>
      </w:r>
      <w:r>
        <w:fldChar w:fldCharType="separate"/>
      </w:r>
      <w:r>
        <w:rPr>
          <w:rFonts w:hint="eastAsia"/>
        </w:rPr>
        <w:t>7.3附件3：承诺书</w:t>
      </w:r>
      <w:r>
        <w:tab/>
      </w:r>
      <w:r>
        <w:rPr>
          <w:rFonts w:hint="eastAsia"/>
        </w:rPr>
        <w:t>2</w:t>
      </w:r>
      <w:r>
        <w:rPr>
          <w:rFonts w:hint="eastAsia"/>
        </w:rPr>
        <w:fldChar w:fldCharType="end"/>
      </w:r>
      <w:r>
        <w:rPr>
          <w:rFonts w:hint="eastAsia"/>
        </w:rPr>
        <w:t>0</w:t>
      </w:r>
    </w:p>
    <w:p>
      <w:pPr>
        <w:pStyle w:val="62"/>
        <w:tabs>
          <w:tab w:val="right" w:leader="dot" w:pos="9071"/>
        </w:tabs>
        <w:spacing w:line="240" w:lineRule="auto"/>
      </w:pPr>
      <w:r>
        <w:fldChar w:fldCharType="begin"/>
      </w:r>
      <w:r>
        <w:instrText xml:space="preserve"> HYPERLINK \l "_Toc12165" </w:instrText>
      </w:r>
      <w:r>
        <w:fldChar w:fldCharType="separate"/>
      </w:r>
      <w:r>
        <w:rPr>
          <w:rFonts w:hint="eastAsia"/>
        </w:rPr>
        <w:t>7.4附件4：授权委托书</w:t>
      </w:r>
      <w:r>
        <w:tab/>
      </w:r>
      <w:r>
        <w:rPr>
          <w:rFonts w:hint="eastAsia"/>
        </w:rPr>
        <w:t>2</w:t>
      </w:r>
      <w:r>
        <w:rPr>
          <w:rFonts w:hint="eastAsia"/>
        </w:rPr>
        <w:fldChar w:fldCharType="end"/>
      </w:r>
      <w:r>
        <w:rPr>
          <w:rFonts w:hint="eastAsia"/>
        </w:rPr>
        <w:t>1</w:t>
      </w:r>
    </w:p>
    <w:p>
      <w:pPr>
        <w:pStyle w:val="3"/>
        <w:numPr>
          <w:ilvl w:val="0"/>
          <w:numId w:val="0"/>
        </w:numPr>
        <w:spacing w:line="240" w:lineRule="auto"/>
        <w:rPr>
          <w:rFonts w:hint="eastAsia" w:ascii="宋体" w:hAnsi="宋体" w:cs="宋体"/>
          <w:i/>
          <w:caps/>
          <w:szCs w:val="24"/>
        </w:rPr>
        <w:sectPr>
          <w:headerReference r:id="rId3" w:type="default"/>
          <w:footerReference r:id="rId4" w:type="default"/>
          <w:pgSz w:w="11907" w:h="16840"/>
          <w:pgMar w:top="1025" w:right="1418" w:bottom="1418" w:left="1418" w:header="724" w:footer="851" w:gutter="0"/>
          <w:pgNumType w:start="1"/>
          <w:cols w:space="720" w:num="1"/>
          <w:docGrid w:linePitch="290" w:charSpace="-3931"/>
        </w:sectPr>
      </w:pPr>
      <w:r>
        <w:rPr>
          <w:rFonts w:hint="eastAsia" w:ascii="宋体" w:hAnsi="宋体" w:cs="宋体"/>
          <w:i/>
          <w:caps/>
          <w:szCs w:val="24"/>
        </w:rPr>
        <w:fldChar w:fldCharType="end"/>
      </w:r>
    </w:p>
    <w:p>
      <w:pPr>
        <w:pStyle w:val="72"/>
        <w:ind w:left="420" w:firstLine="643"/>
      </w:pPr>
      <w:bookmarkStart w:id="0" w:name="_Toc22385"/>
      <w:bookmarkStart w:id="1" w:name="_Toc26651"/>
      <w:bookmarkStart w:id="2" w:name="_Toc25259"/>
      <w:bookmarkStart w:id="3" w:name="_Toc31260"/>
      <w:bookmarkStart w:id="4" w:name="_Toc131681868"/>
      <w:bookmarkStart w:id="5" w:name="_Toc29758"/>
      <w:bookmarkStart w:id="6" w:name="_Toc12144"/>
      <w:bookmarkStart w:id="7" w:name="_Toc2075"/>
      <w:r>
        <w:rPr>
          <w:rFonts w:hint="eastAsia"/>
        </w:rPr>
        <w:t xml:space="preserve">  招标公告</w:t>
      </w:r>
      <w:bookmarkEnd w:id="0"/>
      <w:bookmarkEnd w:id="1"/>
      <w:bookmarkEnd w:id="2"/>
      <w:bookmarkEnd w:id="3"/>
      <w:bookmarkEnd w:id="4"/>
    </w:p>
    <w:p>
      <w:pPr>
        <w:pStyle w:val="292"/>
        <w:numPr>
          <w:ilvl w:val="0"/>
          <w:numId w:val="7"/>
        </w:numPr>
        <w:tabs>
          <w:tab w:val="right" w:leader="dot" w:pos="9061"/>
        </w:tabs>
        <w:spacing w:line="360" w:lineRule="auto"/>
        <w:ind w:firstLineChars="0"/>
        <w:jc w:val="center"/>
        <w:outlineLvl w:val="0"/>
        <w:rPr>
          <w:b/>
          <w:iCs/>
          <w:vanish/>
          <w:szCs w:val="20"/>
        </w:rPr>
      </w:pPr>
      <w:bookmarkStart w:id="8" w:name="_Toc142572964"/>
      <w:bookmarkEnd w:id="8"/>
      <w:bookmarkStart w:id="9" w:name="_Toc142573102"/>
      <w:bookmarkEnd w:id="9"/>
      <w:bookmarkStart w:id="10" w:name="_Toc129697415"/>
      <w:bookmarkEnd w:id="10"/>
      <w:bookmarkStart w:id="11" w:name="_Toc129692714"/>
      <w:bookmarkEnd w:id="11"/>
      <w:bookmarkStart w:id="12" w:name="_Toc129692631"/>
      <w:bookmarkEnd w:id="12"/>
      <w:bookmarkStart w:id="13" w:name="_Toc129692777"/>
      <w:bookmarkEnd w:id="13"/>
      <w:bookmarkStart w:id="14" w:name="_Toc142572929"/>
      <w:bookmarkEnd w:id="14"/>
      <w:bookmarkStart w:id="15" w:name="_Toc129693362"/>
      <w:bookmarkEnd w:id="15"/>
      <w:bookmarkStart w:id="16" w:name="_Toc129695594"/>
      <w:bookmarkEnd w:id="16"/>
      <w:bookmarkStart w:id="17" w:name="_Toc129693878"/>
      <w:bookmarkEnd w:id="17"/>
      <w:bookmarkStart w:id="18" w:name="_Toc142573010"/>
      <w:bookmarkEnd w:id="18"/>
      <w:bookmarkStart w:id="19" w:name="_Toc129688947"/>
      <w:bookmarkEnd w:id="19"/>
      <w:bookmarkStart w:id="20" w:name="_Toc131681869"/>
      <w:bookmarkEnd w:id="20"/>
      <w:bookmarkStart w:id="21" w:name="_Toc142573471"/>
      <w:bookmarkEnd w:id="21"/>
      <w:bookmarkStart w:id="22" w:name="_Toc142573635"/>
      <w:bookmarkEnd w:id="22"/>
    </w:p>
    <w:p>
      <w:pPr>
        <w:pStyle w:val="4"/>
      </w:pPr>
      <w:bookmarkStart w:id="23" w:name="_Toc131681870"/>
      <w:bookmarkStart w:id="24" w:name="_Toc27190"/>
      <w:bookmarkStart w:id="25" w:name="_Toc31025"/>
      <w:bookmarkStart w:id="26" w:name="_Toc12431"/>
      <w:r>
        <w:rPr>
          <w:rFonts w:hint="eastAsia"/>
        </w:rPr>
        <w:t>项目名称及项目编号</w:t>
      </w:r>
      <w:bookmarkEnd w:id="23"/>
      <w:bookmarkEnd w:id="24"/>
      <w:bookmarkEnd w:id="25"/>
      <w:bookmarkEnd w:id="26"/>
    </w:p>
    <w:p>
      <w:pPr>
        <w:spacing w:line="360" w:lineRule="auto"/>
        <w:ind w:firstLine="482" w:firstLineChars="200"/>
        <w:rPr>
          <w:rFonts w:hint="eastAsia" w:ascii="宋体" w:hAnsi="宋体" w:cs="宋体"/>
          <w:color w:val="000000"/>
          <w:sz w:val="24"/>
          <w:szCs w:val="24"/>
        </w:rPr>
      </w:pPr>
      <w:r>
        <w:rPr>
          <w:rFonts w:hint="eastAsia" w:ascii="宋体" w:hAnsi="宋体" w:cs="宋体"/>
          <w:b/>
          <w:bCs/>
          <w:color w:val="000000"/>
          <w:sz w:val="24"/>
          <w:szCs w:val="24"/>
        </w:rPr>
        <w:t>项目概况：</w:t>
      </w:r>
      <w:r>
        <w:rPr>
          <w:rFonts w:hint="eastAsia" w:ascii="宋体" w:hAnsi="宋体" w:cs="宋体"/>
          <w:color w:val="000000"/>
          <w:sz w:val="24"/>
          <w:szCs w:val="24"/>
        </w:rPr>
        <w:t>中国重汽集团济南专用车</w:t>
      </w:r>
      <w:r>
        <w:rPr>
          <w:rFonts w:hint="eastAsia" w:ascii="宋体" w:hAnsi="宋体" w:cs="宋体"/>
          <w:sz w:val="24"/>
          <w:szCs w:val="24"/>
        </w:rPr>
        <w:t>公司</w:t>
      </w:r>
      <w:r>
        <w:rPr>
          <w:rFonts w:hint="eastAsia" w:ascii="宋体" w:hAnsi="宋体" w:cs="宋体"/>
          <w:color w:val="000000"/>
          <w:sz w:val="24"/>
          <w:szCs w:val="24"/>
        </w:rPr>
        <w:t>商品车存放场地租用招标项目</w:t>
      </w:r>
    </w:p>
    <w:p>
      <w:pPr>
        <w:spacing w:line="360" w:lineRule="auto"/>
        <w:ind w:firstLine="480" w:firstLineChars="200"/>
      </w:pPr>
      <w:r>
        <w:rPr>
          <w:rFonts w:hint="eastAsia" w:ascii="宋体" w:hAnsi="宋体" w:cs="宋体"/>
          <w:sz w:val="24"/>
          <w:szCs w:val="24"/>
        </w:rPr>
        <w:t>项目名称：</w:t>
      </w:r>
      <w:r>
        <w:rPr>
          <w:rFonts w:hint="eastAsia" w:ascii="宋体" w:hAnsi="宋体" w:cs="宋体"/>
          <w:sz w:val="24"/>
          <w:szCs w:val="24"/>
          <w:u w:val="single"/>
        </w:rPr>
        <w:t>中国重汽集团济南专用车公司</w:t>
      </w:r>
      <w:r>
        <w:rPr>
          <w:rFonts w:hint="eastAsia" w:ascii="宋体" w:hAnsi="宋体" w:cs="宋体"/>
          <w:color w:val="000000"/>
          <w:sz w:val="24"/>
          <w:szCs w:val="24"/>
          <w:u w:val="single"/>
        </w:rPr>
        <w:t>商品车存放场地租用</w:t>
      </w:r>
      <w:r>
        <w:rPr>
          <w:rFonts w:hint="eastAsia" w:ascii="宋体" w:hAnsi="宋体" w:cs="宋体"/>
          <w:sz w:val="24"/>
          <w:szCs w:val="24"/>
          <w:u w:val="single"/>
        </w:rPr>
        <w:t>招标项目</w:t>
      </w:r>
      <w:bookmarkStart w:id="27" w:name="_Toc4550"/>
      <w:bookmarkStart w:id="28" w:name="_Toc21643"/>
    </w:p>
    <w:p>
      <w:pPr>
        <w:pStyle w:val="2"/>
        <w:spacing w:line="360" w:lineRule="auto"/>
        <w:ind w:firstLine="480"/>
        <w:jc w:val="left"/>
        <w:rPr>
          <w:rFonts w:hint="eastAsia" w:ascii="宋体" w:hAnsi="宋体" w:cs="宋体"/>
          <w:kern w:val="2"/>
          <w:sz w:val="24"/>
          <w:szCs w:val="24"/>
        </w:rPr>
      </w:pPr>
      <w:r>
        <w:rPr>
          <w:rFonts w:hint="eastAsia" w:ascii="宋体" w:hAnsi="宋体" w:cs="宋体"/>
          <w:kern w:val="2"/>
          <w:sz w:val="24"/>
          <w:szCs w:val="24"/>
        </w:rPr>
        <w:t>报名方式：公开招标。</w:t>
      </w:r>
    </w:p>
    <w:p>
      <w:pPr>
        <w:spacing w:line="360" w:lineRule="auto"/>
        <w:ind w:firstLine="480" w:firstLineChars="200"/>
      </w:pPr>
      <w:r>
        <w:rPr>
          <w:rFonts w:hint="eastAsia" w:ascii="宋体" w:hAnsi="宋体" w:cs="宋体"/>
          <w:sz w:val="24"/>
          <w:szCs w:val="24"/>
        </w:rPr>
        <w:t>供应商应标须提交资料：营业执照、投标保证金缴纳凭证、三年财务报表（成立不足三年的上传成立以来的财务报表）。</w:t>
      </w:r>
    </w:p>
    <w:p>
      <w:pPr>
        <w:pStyle w:val="4"/>
      </w:pPr>
      <w:bookmarkStart w:id="29" w:name="_Toc21396"/>
      <w:bookmarkStart w:id="30" w:name="_Toc131681871"/>
      <w:r>
        <w:rPr>
          <w:rFonts w:hint="eastAsia"/>
        </w:rPr>
        <w:t>招标形式：公开招标</w:t>
      </w:r>
      <w:bookmarkEnd w:id="27"/>
      <w:bookmarkEnd w:id="28"/>
      <w:bookmarkEnd w:id="29"/>
      <w:bookmarkEnd w:id="30"/>
    </w:p>
    <w:p>
      <w:pPr>
        <w:pStyle w:val="4"/>
      </w:pPr>
      <w:bookmarkStart w:id="31" w:name="_Toc16079"/>
      <w:bookmarkStart w:id="32" w:name="_Toc7702"/>
      <w:bookmarkStart w:id="33" w:name="_Toc7478"/>
      <w:bookmarkStart w:id="34" w:name="_Toc131681872"/>
      <w:r>
        <w:rPr>
          <w:rFonts w:hint="eastAsia"/>
        </w:rPr>
        <w:t>投标人资格要求</w:t>
      </w:r>
      <w:bookmarkEnd w:id="31"/>
      <w:bookmarkEnd w:id="32"/>
      <w:bookmarkEnd w:id="33"/>
      <w:bookmarkEnd w:id="34"/>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rPr>
        <w:t>1</w:t>
      </w:r>
      <w:r>
        <w:rPr>
          <w:rFonts w:hint="eastAsia" w:ascii="宋体" w:hAnsi="宋体" w:cs="宋体"/>
          <w:sz w:val="24"/>
          <w:szCs w:val="24"/>
        </w:rPr>
        <w:t>.符合以下条件的投标人即为合格的投标人，合格的投标人将具有参与评审的资格。</w:t>
      </w:r>
    </w:p>
    <w:p>
      <w:pPr>
        <w:spacing w:line="360" w:lineRule="auto"/>
        <w:ind w:firstLine="480" w:firstLineChars="200"/>
        <w:rPr>
          <w:rFonts w:hint="eastAsia" w:ascii="宋体" w:hAnsi="宋体" w:cs="宋体"/>
          <w:sz w:val="24"/>
          <w:szCs w:val="24"/>
        </w:rPr>
      </w:pPr>
      <w:bookmarkStart w:id="35" w:name="_Toc129697429"/>
      <w:r>
        <w:rPr>
          <w:rFonts w:hint="eastAsia" w:ascii="宋体" w:hAnsi="宋体" w:cs="宋体"/>
          <w:color w:val="000000"/>
          <w:sz w:val="24"/>
          <w:szCs w:val="24"/>
        </w:rPr>
        <w:t>（1）投标人须遵守《中华人民共和国招标投标法》、《中华人民共和国民法典》及其它有关的法律和法规；为中华人民共和国境内注册的独立法人机构，具有独立承担民事责任的能力；经营范围满足竞价项目需求；</w:t>
      </w:r>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rPr>
        <w:t>（2）注册资金不少于500万，投标人须于投标时提供具有统一社会信用代码的营业执照副本原件、复印件及资产负债表(加盖公章)；</w:t>
      </w:r>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rPr>
        <w:t>（3）投标人在近三年内或成立以来在经营活动中无重大违法、违规的不良记录;</w:t>
      </w:r>
      <w:r>
        <w:rPr>
          <w:rFonts w:hint="eastAsia" w:ascii="宋体" w:hAnsi="宋体" w:cs="宋体"/>
          <w:sz w:val="24"/>
          <w:szCs w:val="24"/>
        </w:rPr>
        <w:t xml:space="preserve"> </w:t>
      </w:r>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rPr>
        <w:t>（4）具有健全的财务会计制度，财务状况和市场行为良好。没有处于被有关机关吊销营业执照、吊销资质、停业整顿、取消投标资格以及财产被接管、冻结或进入破产程序等；</w:t>
      </w:r>
    </w:p>
    <w:p>
      <w:pPr>
        <w:spacing w:line="360" w:lineRule="auto"/>
        <w:ind w:firstLine="480" w:firstLineChars="200"/>
        <w:rPr>
          <w:rFonts w:hint="eastAsia" w:ascii="宋体" w:hAnsi="宋体" w:cs="宋体"/>
          <w:color w:val="000000"/>
          <w:sz w:val="24"/>
          <w:szCs w:val="24"/>
        </w:rPr>
        <w:sectPr>
          <w:footerReference r:id="rId5" w:type="default"/>
          <w:pgSz w:w="11907" w:h="16840"/>
          <w:pgMar w:top="1025" w:right="1418" w:bottom="1418" w:left="1418" w:header="724" w:footer="851" w:gutter="0"/>
          <w:pgNumType w:start="1"/>
          <w:cols w:space="720" w:num="1"/>
          <w:docGrid w:linePitch="290" w:charSpace="-3931"/>
        </w:sectPr>
      </w:pPr>
      <w:r>
        <w:rPr>
          <w:rFonts w:hint="eastAsia" w:ascii="宋体" w:hAnsi="宋体" w:cs="宋体"/>
          <w:color w:val="000000"/>
          <w:sz w:val="24"/>
          <w:szCs w:val="24"/>
        </w:rPr>
        <w:t>（5）投标人须提供法人授权委托书原件及投标单位的法定代表人或授权代表的身份证原件；</w:t>
      </w:r>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rPr>
        <w:t>（6）投标人须具有履行合同所必须的设备、财务、技术、服务等方面的资质和能力；</w:t>
      </w:r>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rPr>
        <w:t>（7）投标人须具有完全履行投标文件的所有要求的能力；</w:t>
      </w:r>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rPr>
        <w:t>（8）投标人须认可业务单位的工作指令，包括节假日能正常开展工作的要求；</w:t>
      </w:r>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rPr>
        <w:t>（9）投标人必须是最终投标、签订合同的单位，不得以任何理由将已中标项目以任何形式转包、分包给其他单位；</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（10）本次招标项目不接受联合体投标；</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（11）法人授权委托书及被授权人的身份证；法人到场的提供法定代表人资格证明文件和身份证；</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（12）在以往的招投标活动中没有违纪、违规、违约等不良行为，且没有列于山东重工黑名单企业；</w:t>
      </w:r>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rPr>
        <w:t>（13）投标人须提供经会计师事务所审计且出具无保留意见的近三年的财务审计报告原件（成立不足三年的上传成立以来的财务报表），并加盖公章，包括但不限于报告页、经审计的资产负债表、利润表、现金流量表及报表附注。如投标人公司没有经审计的财务报告，可提供加盖公章的近三年财务报表，包括但不限于资产负债表、利润表、现金流量表。</w:t>
      </w:r>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rPr>
        <w:t>2.如出现因中标人漏报或少报而造成的一切经济后果，由中标人自行负责。</w:t>
      </w:r>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rPr>
        <w:t>3.若中标人在签订合同时，坚持提出附加条件或不合理要求的，招标人有权取消其中标资格，由此产生的该中标人损失由该中标人自负，并且招标人有权将由此产生的招标人损失（包括经济上的损失和工期上的损失）向该中标人索赔。</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4．投标人须具有独立的法人资格、良好的商业信誉、优质的服务态度和认真负责的工作作风，有应付特殊情况的反应能力，可提供365天</w:t>
      </w:r>
      <m:oMath>
        <m:r>
          <m:rPr/>
          <w:rPr>
            <w:rFonts w:ascii="Cambria Math" w:hAnsi="Cambria Math" w:cs="宋体"/>
            <w:color w:val="000000"/>
            <w:sz w:val="24"/>
            <w:szCs w:val="24"/>
          </w:rPr>
          <m:t>×</m:t>
        </m:r>
      </m:oMath>
      <w:r>
        <w:rPr>
          <w:rFonts w:hint="eastAsia" w:ascii="宋体" w:hAnsi="宋体" w:cs="宋体"/>
          <w:color w:val="000000"/>
          <w:sz w:val="24"/>
          <w:szCs w:val="24"/>
        </w:rPr>
        <w:t>24小时服务，包括节假日，有专职人员负责业务联络。</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5.投标人需具有流畅的信息沟通渠道，且具有（或承诺具有）临时存放商品车必要的、具备安全措施的车辆仓储及监管场地。</w:t>
      </w:r>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rPr>
        <w:t xml:space="preserve">6.投标人应视需要至招标人处详细了解与本次招标项目有关的全部文件及制度，并详细了解中标后签订的《商品车存放管理合同》的全部内容，并同意《商品车存放管理合同》中各项条款。                 </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7.投标人应承担其在投标准备、编制、递交投标文件和签订合同协议的整个过程的一切费用而不论其投标结果如何。</w:t>
      </w:r>
    </w:p>
    <w:p>
      <w:pPr>
        <w:pStyle w:val="2"/>
      </w:pPr>
    </w:p>
    <w:bookmarkEnd w:id="35"/>
    <w:p>
      <w:pPr>
        <w:pStyle w:val="4"/>
      </w:pPr>
      <w:bookmarkStart w:id="36" w:name="_Toc131681873"/>
      <w:bookmarkStart w:id="37" w:name="_Toc30539"/>
      <w:bookmarkStart w:id="38" w:name="_Toc21168"/>
      <w:bookmarkStart w:id="39" w:name="_Toc10192"/>
      <w:r>
        <w:rPr>
          <w:rFonts w:hint="eastAsia"/>
        </w:rPr>
        <w:t>招标文件的获取</w:t>
      </w:r>
      <w:bookmarkEnd w:id="36"/>
      <w:bookmarkEnd w:id="37"/>
      <w:bookmarkEnd w:id="38"/>
      <w:bookmarkEnd w:id="39"/>
    </w:p>
    <w:p>
      <w:pPr>
        <w:pStyle w:val="2"/>
        <w:spacing w:line="360" w:lineRule="auto"/>
        <w:ind w:firstLine="480"/>
        <w:jc w:val="left"/>
      </w:pPr>
      <w:bookmarkStart w:id="40" w:name="_Toc131681875"/>
      <w:bookmarkStart w:id="41" w:name="_Toc29960"/>
      <w:r>
        <w:rPr>
          <w:rFonts w:hint="eastAsia" w:ascii="宋体" w:hAnsi="宋体" w:cs="宋体"/>
          <w:color w:val="000000"/>
          <w:sz w:val="24"/>
          <w:szCs w:val="24"/>
        </w:rPr>
        <w:t>1、</w:t>
      </w:r>
      <w:bookmarkEnd w:id="40"/>
      <w:bookmarkEnd w:id="41"/>
      <w:r>
        <w:rPr>
          <w:rFonts w:hint="eastAsia" w:ascii="宋体" w:hAnsi="宋体" w:cs="宋体"/>
          <w:color w:val="000000"/>
          <w:sz w:val="24"/>
          <w:szCs w:val="24"/>
        </w:rPr>
        <w:t>招标文件获取方式：投标人报名并且缴纳投标保证金应标成功后，通过</w:t>
      </w:r>
      <w:r>
        <w:rPr>
          <w:rFonts w:hint="eastAsia" w:ascii="宋体" w:hAnsi="宋体" w:cs="宋体"/>
          <w:sz w:val="24"/>
          <w:szCs w:val="24"/>
        </w:rPr>
        <w:t>中国重汽济南专用车公司营销中心获取</w:t>
      </w:r>
      <w:r>
        <w:rPr>
          <w:rFonts w:hint="eastAsia" w:ascii="宋体" w:hAnsi="宋体" w:cs="宋体"/>
          <w:color w:val="000000"/>
          <w:sz w:val="24"/>
          <w:szCs w:val="24"/>
        </w:rPr>
        <w:t>。</w:t>
      </w:r>
    </w:p>
    <w:p>
      <w:pPr>
        <w:ind w:firstLine="482"/>
        <w:rPr>
          <w:b/>
        </w:rPr>
      </w:pPr>
      <w:bookmarkStart w:id="42" w:name="_Toc15520"/>
      <w:bookmarkStart w:id="43" w:name="_Toc15411"/>
      <w:bookmarkStart w:id="44" w:name="_Toc131681877"/>
      <w:r>
        <w:rPr>
          <w:rFonts w:hint="eastAsia"/>
          <w:b/>
        </w:rPr>
        <w:t xml:space="preserve">  </w:t>
      </w:r>
      <w:r>
        <w:rPr>
          <w:rFonts w:hint="eastAsia" w:ascii="宋体" w:hAnsi="宋体" w:cs="宋体"/>
          <w:color w:val="000000"/>
          <w:sz w:val="24"/>
          <w:szCs w:val="24"/>
        </w:rPr>
        <w:t xml:space="preserve">  供应商应标须提供资料：营业执照、投标保证金缴纳凭证、三年财务报表（成立不足三年的上传成立以来的财务报表），</w:t>
      </w:r>
    </w:p>
    <w:p>
      <w:pPr>
        <w:pStyle w:val="4"/>
      </w:pPr>
      <w:bookmarkStart w:id="45" w:name="_Toc788"/>
      <w:r>
        <w:rPr>
          <w:rFonts w:hint="eastAsia"/>
        </w:rPr>
        <w:t>投标文件的递交</w:t>
      </w:r>
      <w:bookmarkEnd w:id="42"/>
      <w:bookmarkEnd w:id="43"/>
      <w:bookmarkEnd w:id="44"/>
      <w:bookmarkEnd w:id="45"/>
    </w:p>
    <w:p>
      <w:pPr>
        <w:pStyle w:val="180"/>
        <w:spacing w:beforeLines="0" w:afterLines="0"/>
        <w:ind w:firstLineChars="0"/>
      </w:pPr>
      <w:bookmarkStart w:id="46" w:name="_Toc129697439"/>
      <w:r>
        <w:rPr>
          <w:rFonts w:hint="eastAsia"/>
        </w:rPr>
        <w:t>1、投标文件递交时间：</w:t>
      </w:r>
      <w:r>
        <w:rPr>
          <w:rFonts w:hint="eastAsia"/>
          <w:u w:val="single"/>
        </w:rPr>
        <w:t xml:space="preserve">  11月15日上午8:50  </w:t>
      </w:r>
    </w:p>
    <w:p>
      <w:pPr>
        <w:wordWrap w:val="0"/>
        <w:spacing w:line="360" w:lineRule="auto"/>
        <w:ind w:firstLine="480" w:firstLineChars="200"/>
      </w:pPr>
      <w:r>
        <w:rPr>
          <w:rFonts w:hint="eastAsia"/>
          <w:kern w:val="0"/>
          <w:sz w:val="24"/>
          <w:szCs w:val="20"/>
        </w:rPr>
        <w:t xml:space="preserve">2、递交地点： </w:t>
      </w:r>
      <w:r>
        <w:rPr>
          <w:rFonts w:hint="eastAsia"/>
          <w:u w:val="single"/>
        </w:rPr>
        <w:t xml:space="preserve"> </w:t>
      </w:r>
      <w:bookmarkEnd w:id="46"/>
      <w:r>
        <w:rPr>
          <w:rFonts w:hint="eastAsia" w:ascii="宋体" w:hAnsi="宋体" w:cs="宋体"/>
          <w:color w:val="000000"/>
          <w:sz w:val="24"/>
          <w:szCs w:val="24"/>
          <w:u w:val="single"/>
        </w:rPr>
        <w:t>济南专用车公司营销中心</w:t>
      </w:r>
    </w:p>
    <w:p>
      <w:pPr>
        <w:pStyle w:val="180"/>
        <w:spacing w:beforeLines="0" w:afterLines="0"/>
      </w:pPr>
      <w:bookmarkStart w:id="47" w:name="_Toc129697440"/>
      <w:r>
        <w:t>3</w:t>
      </w:r>
      <w:r>
        <w:rPr>
          <w:rFonts w:hint="eastAsia"/>
        </w:rPr>
        <w:t>、逾期送达的或者未送达指定地点的投标文件，招标人不予受理。</w:t>
      </w:r>
      <w:bookmarkEnd w:id="47"/>
    </w:p>
    <w:p>
      <w:pPr>
        <w:pStyle w:val="4"/>
      </w:pPr>
      <w:bookmarkStart w:id="48" w:name="_Toc11104"/>
      <w:r>
        <w:rPr>
          <w:rFonts w:hint="eastAsia"/>
        </w:rPr>
        <w:t>开标时间和地点</w:t>
      </w:r>
      <w:bookmarkEnd w:id="48"/>
    </w:p>
    <w:p>
      <w:pPr>
        <w:autoSpaceDE w:val="0"/>
        <w:autoSpaceDN w:val="0"/>
        <w:adjustRightInd w:val="0"/>
        <w:snapToGrid w:val="0"/>
        <w:spacing w:line="360" w:lineRule="auto"/>
        <w:ind w:firstLine="480" w:firstLineChars="200"/>
        <w:jc w:val="left"/>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、开标时间：2</w:t>
      </w:r>
      <w:r>
        <w:rPr>
          <w:rFonts w:ascii="宋体" w:hAnsi="宋体" w:cs="宋体"/>
          <w:sz w:val="24"/>
          <w:szCs w:val="24"/>
        </w:rPr>
        <w:t>02</w:t>
      </w:r>
      <w:r>
        <w:rPr>
          <w:rFonts w:hint="eastAsia" w:ascii="宋体" w:hAnsi="宋体" w:cs="宋体"/>
          <w:sz w:val="24"/>
          <w:szCs w:val="24"/>
        </w:rPr>
        <w:t>4年11月15日上午9：00</w:t>
      </w:r>
    </w:p>
    <w:p>
      <w:pPr>
        <w:autoSpaceDE w:val="0"/>
        <w:autoSpaceDN w:val="0"/>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2、开标地点：济南专用车公司营销中心会议室</w:t>
      </w:r>
    </w:p>
    <w:p>
      <w:pPr>
        <w:pStyle w:val="4"/>
      </w:pPr>
      <w:bookmarkStart w:id="49" w:name="_Toc23007"/>
      <w:r>
        <w:rPr>
          <w:rFonts w:hint="eastAsia"/>
        </w:rPr>
        <w:t>联系方式</w:t>
      </w:r>
      <w:bookmarkEnd w:id="49"/>
    </w:p>
    <w:p>
      <w:pPr>
        <w:spacing w:line="360" w:lineRule="auto"/>
        <w:ind w:firstLine="480" w:firstLineChars="200"/>
      </w:pPr>
      <w:r>
        <w:rPr>
          <w:rFonts w:hint="eastAsia" w:ascii="宋体" w:hAnsi="宋体" w:cs="宋体"/>
          <w:color w:val="000000"/>
          <w:sz w:val="24"/>
          <w:szCs w:val="24"/>
        </w:rPr>
        <w:t>1、技术、商务答疑</w:t>
      </w:r>
    </w:p>
    <w:p>
      <w:pPr>
        <w:autoSpaceDE w:val="0"/>
        <w:autoSpaceDN w:val="0"/>
        <w:adjustRightInd w:val="0"/>
        <w:snapToGrid w:val="0"/>
        <w:spacing w:line="360" w:lineRule="auto"/>
        <w:ind w:firstLine="480" w:firstLineChars="200"/>
        <w:jc w:val="left"/>
        <w:rPr>
          <w:rFonts w:hint="eastAsia" w:ascii="宋体" w:hAnsi="宋体" w:cs="宋体"/>
          <w:sz w:val="24"/>
          <w:szCs w:val="24"/>
        </w:rPr>
      </w:pPr>
      <w:bookmarkStart w:id="50" w:name="_Hlk161500760"/>
      <w:r>
        <w:rPr>
          <w:rFonts w:hint="eastAsia" w:ascii="宋体" w:hAnsi="宋体" w:cs="宋体"/>
          <w:sz w:val="24"/>
          <w:szCs w:val="24"/>
        </w:rPr>
        <w:t>联 系 人： 杨科、 李谦谦</w:t>
      </w:r>
    </w:p>
    <w:p>
      <w:pPr>
        <w:autoSpaceDE w:val="0"/>
        <w:autoSpaceDN w:val="0"/>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联系电话:  18678837666/ 13793122912 </w:t>
      </w:r>
    </w:p>
    <w:bookmarkEnd w:id="50"/>
    <w:p>
      <w:pPr>
        <w:autoSpaceDE w:val="0"/>
        <w:autoSpaceDN w:val="0"/>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电子邮箱：</w:t>
      </w:r>
      <w:r>
        <w:rPr>
          <w:rFonts w:hint="eastAsia" w:ascii="宋体" w:hAnsi="宋体" w:cs="宋体"/>
          <w:sz w:val="24"/>
          <w:szCs w:val="24"/>
          <w:lang w:val="en-US" w:eastAsia="zh-CN"/>
        </w:rPr>
        <w:t>18615183829@163.</w:t>
      </w:r>
      <w:r>
        <w:rPr>
          <w:rFonts w:hint="eastAsia" w:ascii="宋体" w:hAnsi="宋体" w:cs="宋体"/>
          <w:sz w:val="24"/>
          <w:szCs w:val="24"/>
        </w:rPr>
        <w:t>com</w:t>
      </w:r>
    </w:p>
    <w:p>
      <w:pPr>
        <w:pStyle w:val="4"/>
      </w:pPr>
      <w:bookmarkStart w:id="51" w:name="_Toc5930"/>
      <w:r>
        <w:rPr>
          <w:rFonts w:hint="eastAsia"/>
        </w:rPr>
        <w:t>投标保证金</w:t>
      </w:r>
      <w:bookmarkEnd w:id="51"/>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rPr>
        <w:t>1.投标人于 2024年</w:t>
      </w:r>
      <w:r>
        <w:rPr>
          <w:rFonts w:hint="eastAsia" w:ascii="宋体" w:hAnsi="宋体" w:cs="宋体"/>
          <w:color w:val="000000"/>
          <w:sz w:val="24"/>
          <w:szCs w:val="24"/>
          <w:u w:val="single"/>
        </w:rPr>
        <w:t xml:space="preserve"> 11 </w:t>
      </w:r>
      <w:r>
        <w:rPr>
          <w:rFonts w:hint="eastAsia" w:ascii="宋体" w:hAnsi="宋体" w:cs="宋体"/>
          <w:color w:val="000000"/>
          <w:sz w:val="24"/>
          <w:szCs w:val="24"/>
        </w:rPr>
        <w:t>月</w:t>
      </w:r>
      <w:r>
        <w:rPr>
          <w:rFonts w:hint="eastAsia" w:ascii="宋体" w:hAnsi="宋体" w:cs="宋体"/>
          <w:color w:val="000000"/>
          <w:sz w:val="24"/>
          <w:szCs w:val="24"/>
          <w:u w:val="single"/>
        </w:rPr>
        <w:t xml:space="preserve"> 14 </w:t>
      </w:r>
      <w:r>
        <w:rPr>
          <w:rFonts w:hint="eastAsia" w:ascii="宋体" w:hAnsi="宋体" w:cs="宋体"/>
          <w:color w:val="000000"/>
          <w:sz w:val="24"/>
          <w:szCs w:val="24"/>
        </w:rPr>
        <w:t>日</w:t>
      </w:r>
      <w:r>
        <w:rPr>
          <w:rFonts w:hint="eastAsia" w:ascii="宋体" w:hAnsi="宋体" w:cs="宋体"/>
          <w:color w:val="000000"/>
          <w:sz w:val="24"/>
          <w:szCs w:val="24"/>
          <w:u w:val="single"/>
        </w:rPr>
        <w:t>17:00</w:t>
      </w:r>
      <w:r>
        <w:rPr>
          <w:rFonts w:hint="eastAsia" w:ascii="宋体" w:hAnsi="宋体" w:cs="宋体"/>
          <w:color w:val="000000"/>
          <w:sz w:val="24"/>
          <w:szCs w:val="24"/>
        </w:rPr>
        <w:t>之前完成向招标人财务部门缴纳人民币</w:t>
      </w:r>
      <w:r>
        <w:rPr>
          <w:rFonts w:hint="eastAsia" w:ascii="宋体" w:hAnsi="宋体" w:cs="宋体"/>
          <w:color w:val="000000"/>
          <w:sz w:val="24"/>
          <w:szCs w:val="24"/>
          <w:u w:val="single"/>
        </w:rPr>
        <w:t xml:space="preserve">20000 </w:t>
      </w:r>
      <w:r>
        <w:rPr>
          <w:rFonts w:hint="eastAsia" w:ascii="宋体" w:hAnsi="宋体" w:cs="宋体"/>
          <w:color w:val="000000"/>
          <w:sz w:val="24"/>
          <w:szCs w:val="24"/>
        </w:rPr>
        <w:t>元（贰万元整），作为投标人本次投标的保证金。集团智能物流和济南专用车公司现有签约单位可免缴。</w:t>
      </w:r>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rPr>
        <w:t>2.缴纳方式：基本账户转账。</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3.接收单位：中国重汽集团济南专用车有限公司</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4.转账信息：开户银行：中国银行章丘支行</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户名：中国重汽集团济南专用车有限公司  账号：227305574495   应备注“商品车存放场地租用项目投标保证金”</w:t>
      </w:r>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rPr>
        <w:t>注：投标人应充分考虑银行信息交换时间，由此带来的保证金不能按时到帐的由投标人自行承担。</w:t>
      </w:r>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rPr>
        <w:t>5.保证金到期为无息退还，未中标的在中标通知书发出后20个工作日内，财务部门退还投标保证金；中标的在采购合同签订后20个工作日内退还投标保证金、或根据合同中的约定将投标保证金转为履约保证金。履约保证金在签订合同前必须缴纳，中标通知后10个工作日内未与招标方签订合同的视为违约，保证金不予退回。</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6.履约保证金：</w:t>
      </w:r>
      <w:r>
        <w:rPr>
          <w:rFonts w:hint="eastAsia" w:ascii="宋体" w:hAnsi="宋体" w:cs="宋体"/>
          <w:sz w:val="24"/>
          <w:szCs w:val="24"/>
        </w:rPr>
        <w:t>20万元。</w:t>
      </w:r>
    </w:p>
    <w:p>
      <w:pPr>
        <w:pStyle w:val="72"/>
        <w:ind w:left="420" w:firstLine="643"/>
      </w:pPr>
      <w:bookmarkStart w:id="52" w:name="_Toc2083"/>
      <w:r>
        <w:rPr>
          <w:rFonts w:hint="eastAsia"/>
        </w:rPr>
        <w:t xml:space="preserve">  投标人须知</w:t>
      </w:r>
      <w:bookmarkEnd w:id="5"/>
      <w:bookmarkEnd w:id="6"/>
      <w:bookmarkEnd w:id="7"/>
      <w:bookmarkEnd w:id="52"/>
      <w:bookmarkStart w:id="53" w:name="_Toc129685544"/>
      <w:bookmarkEnd w:id="53"/>
      <w:bookmarkStart w:id="54" w:name="_Toc129685543"/>
      <w:bookmarkEnd w:id="54"/>
    </w:p>
    <w:p>
      <w:pPr>
        <w:pStyle w:val="292"/>
        <w:keepNext/>
        <w:keepLines/>
        <w:numPr>
          <w:ilvl w:val="0"/>
          <w:numId w:val="8"/>
        </w:numPr>
        <w:spacing w:line="360" w:lineRule="auto"/>
        <w:ind w:firstLineChars="0"/>
        <w:jc w:val="left"/>
        <w:outlineLvl w:val="1"/>
        <w:rPr>
          <w:b/>
          <w:vanish/>
          <w:kern w:val="0"/>
          <w:sz w:val="24"/>
          <w:szCs w:val="32"/>
        </w:rPr>
      </w:pPr>
      <w:bookmarkStart w:id="55" w:name="_Toc142572974"/>
      <w:bookmarkEnd w:id="55"/>
      <w:bookmarkStart w:id="56" w:name="_Toc142573481"/>
      <w:bookmarkEnd w:id="56"/>
      <w:bookmarkStart w:id="57" w:name="_Toc129697443"/>
      <w:bookmarkEnd w:id="57"/>
      <w:bookmarkStart w:id="58" w:name="_Toc129693887"/>
      <w:bookmarkEnd w:id="58"/>
      <w:bookmarkStart w:id="59" w:name="_Toc129692786"/>
      <w:bookmarkEnd w:id="59"/>
      <w:bookmarkStart w:id="60" w:name="_Toc142572939"/>
      <w:bookmarkEnd w:id="60"/>
      <w:bookmarkStart w:id="61" w:name="_Toc129695603"/>
      <w:bookmarkEnd w:id="61"/>
      <w:bookmarkStart w:id="62" w:name="_Toc129692723"/>
      <w:bookmarkEnd w:id="62"/>
      <w:bookmarkStart w:id="63" w:name="_Toc129692640"/>
      <w:bookmarkEnd w:id="63"/>
      <w:bookmarkStart w:id="64" w:name="_Toc129693371"/>
      <w:bookmarkEnd w:id="64"/>
      <w:bookmarkStart w:id="65" w:name="_Toc142573112"/>
      <w:bookmarkEnd w:id="65"/>
      <w:bookmarkStart w:id="66" w:name="_Toc142573645"/>
      <w:bookmarkEnd w:id="66"/>
      <w:bookmarkStart w:id="67" w:name="_Toc142573020"/>
      <w:bookmarkEnd w:id="67"/>
    </w:p>
    <w:p>
      <w:pPr>
        <w:pStyle w:val="292"/>
        <w:keepNext/>
        <w:keepLines/>
        <w:numPr>
          <w:ilvl w:val="0"/>
          <w:numId w:val="8"/>
        </w:numPr>
        <w:spacing w:line="360" w:lineRule="auto"/>
        <w:ind w:firstLineChars="0"/>
        <w:jc w:val="left"/>
        <w:outlineLvl w:val="1"/>
        <w:rPr>
          <w:b/>
          <w:vanish/>
          <w:kern w:val="0"/>
          <w:sz w:val="24"/>
          <w:szCs w:val="32"/>
        </w:rPr>
      </w:pPr>
      <w:bookmarkStart w:id="68" w:name="_Toc142573482"/>
      <w:bookmarkEnd w:id="68"/>
      <w:bookmarkStart w:id="69" w:name="_Toc142572975"/>
      <w:bookmarkEnd w:id="69"/>
      <w:bookmarkStart w:id="70" w:name="_Toc142573021"/>
      <w:bookmarkEnd w:id="70"/>
      <w:bookmarkStart w:id="71" w:name="_Toc129693372"/>
      <w:bookmarkEnd w:id="71"/>
      <w:bookmarkStart w:id="72" w:name="_Toc129692641"/>
      <w:bookmarkEnd w:id="72"/>
      <w:bookmarkStart w:id="73" w:name="_Toc129692724"/>
      <w:bookmarkEnd w:id="73"/>
      <w:bookmarkStart w:id="74" w:name="_Toc142573646"/>
      <w:bookmarkEnd w:id="74"/>
      <w:bookmarkStart w:id="75" w:name="_Toc142573113"/>
      <w:bookmarkEnd w:id="75"/>
      <w:bookmarkStart w:id="76" w:name="_Toc129695604"/>
      <w:bookmarkEnd w:id="76"/>
      <w:bookmarkStart w:id="77" w:name="_Toc129693888"/>
      <w:bookmarkEnd w:id="77"/>
      <w:bookmarkStart w:id="78" w:name="_Toc129692787"/>
      <w:bookmarkEnd w:id="78"/>
      <w:bookmarkStart w:id="79" w:name="_Toc142572940"/>
      <w:bookmarkEnd w:id="79"/>
      <w:bookmarkStart w:id="80" w:name="_Toc129697444"/>
      <w:bookmarkEnd w:id="80"/>
    </w:p>
    <w:p>
      <w:pPr>
        <w:pStyle w:val="4"/>
        <w:numPr>
          <w:ilvl w:val="1"/>
          <w:numId w:val="8"/>
        </w:numPr>
        <w:ind w:leftChars="0"/>
      </w:pPr>
      <w:bookmarkStart w:id="81" w:name="_Toc28952"/>
      <w:bookmarkStart w:id="82" w:name="_Toc14852"/>
      <w:bookmarkStart w:id="83" w:name="_Toc8123"/>
      <w:r>
        <w:rPr>
          <w:rFonts w:hint="eastAsia"/>
        </w:rPr>
        <w:t>投标人须知前附表</w:t>
      </w:r>
      <w:bookmarkEnd w:id="81"/>
      <w:bookmarkEnd w:id="82"/>
      <w:bookmarkEnd w:id="83"/>
    </w:p>
    <w:p>
      <w:pPr>
        <w:spacing w:line="360" w:lineRule="auto"/>
        <w:ind w:firstLine="480" w:firstLineChars="200"/>
        <w:rPr>
          <w:rFonts w:hint="eastAsia" w:ascii="宋体" w:hAnsi="宋体"/>
          <w:sz w:val="24"/>
          <w:szCs w:val="24"/>
        </w:rPr>
      </w:pPr>
      <w:r>
        <w:rPr>
          <w:rFonts w:hint="eastAsia" w:ascii="宋体" w:hAnsi="宋体" w:cs="宋体"/>
          <w:sz w:val="24"/>
          <w:szCs w:val="24"/>
        </w:rPr>
        <w:t>本表是对“投标人须知”正文的具体补充和修改，如有不一致，以“前附表”为准。</w:t>
      </w:r>
    </w:p>
    <w:tbl>
      <w:tblPr>
        <w:tblStyle w:val="7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53"/>
        <w:gridCol w:w="83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blHeader/>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sz w:val="24"/>
                <w:szCs w:val="24"/>
              </w:rPr>
            </w:pPr>
            <w:bookmarkStart w:id="84" w:name="_Toc346372875"/>
            <w:r>
              <w:rPr>
                <w:rFonts w:hint="eastAsia" w:ascii="宋体" w:hAnsi="宋体" w:cs="宋体"/>
                <w:sz w:val="24"/>
              </w:rPr>
              <w:t>序号</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3542" w:firstLineChars="1470"/>
              <w:rPr>
                <w:rFonts w:hint="eastAsia" w:ascii="宋体" w:hAnsi="宋体"/>
                <w:b/>
                <w:bCs/>
                <w:sz w:val="24"/>
                <w:szCs w:val="24"/>
              </w:rPr>
            </w:pPr>
            <w:r>
              <w:rPr>
                <w:rFonts w:hint="eastAsia" w:ascii="宋体" w:hAnsi="宋体" w:cs="宋体"/>
                <w:b/>
                <w:bCs/>
                <w:sz w:val="24"/>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3"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ind w:firstLine="482"/>
              <w:jc w:val="center"/>
              <w:rPr>
                <w:rFonts w:hint="eastAsia" w:ascii="宋体" w:hAnsi="宋体"/>
                <w:b/>
                <w:bCs/>
                <w:sz w:val="24"/>
                <w:szCs w:val="24"/>
              </w:rPr>
            </w:pPr>
            <w:r>
              <w:rPr>
                <w:rFonts w:hint="eastAsia" w:ascii="宋体" w:hAnsi="宋体" w:cs="宋体"/>
                <w:b/>
                <w:bCs/>
                <w:sz w:val="24"/>
              </w:rPr>
              <w:t>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6"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sz w:val="24"/>
                <w:szCs w:val="24"/>
              </w:rPr>
            </w:pPr>
            <w:r>
              <w:rPr>
                <w:rFonts w:hint="eastAsia" w:ascii="宋体" w:hAnsi="宋体" w:cs="宋体"/>
                <w:sz w:val="24"/>
              </w:rPr>
              <w:t>1</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rPr>
                <w:rFonts w:hint="eastAsia" w:ascii="宋体" w:hAnsi="宋体" w:cs="宋体"/>
                <w:color w:val="000000"/>
                <w:sz w:val="24"/>
                <w:szCs w:val="24"/>
              </w:rPr>
            </w:pPr>
            <w:r>
              <w:rPr>
                <w:rFonts w:hint="eastAsia" w:ascii="宋体" w:hAnsi="宋体" w:cs="宋体"/>
                <w:color w:val="000000"/>
                <w:sz w:val="24"/>
                <w:szCs w:val="24"/>
              </w:rPr>
              <w:t>项目名称：中国重汽集团济南专用车有限公司商品车存放场地租用</w:t>
            </w:r>
            <w:r>
              <w:rPr>
                <w:rFonts w:hint="eastAsia" w:ascii="宋体" w:hAnsi="宋体" w:cs="宋体"/>
                <w:sz w:val="24"/>
                <w:szCs w:val="24"/>
              </w:rPr>
              <w:t>招标项目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sz w:val="24"/>
                <w:szCs w:val="24"/>
              </w:rPr>
            </w:pPr>
            <w:r>
              <w:rPr>
                <w:rFonts w:hint="eastAsia" w:ascii="宋体" w:hAnsi="宋体" w:cs="宋体"/>
                <w:sz w:val="24"/>
              </w:rPr>
              <w:t>2</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480" w:firstLineChars="200"/>
              <w:rPr>
                <w:rFonts w:hint="eastAsia" w:ascii="宋体" w:hAnsi="宋体"/>
                <w:bCs/>
                <w:snapToGrid w:val="0"/>
                <w:kern w:val="0"/>
                <w:sz w:val="24"/>
              </w:rPr>
            </w:pPr>
            <w:r>
              <w:rPr>
                <w:rFonts w:hint="eastAsia" w:ascii="宋体" w:hAnsi="宋体"/>
                <w:bCs/>
                <w:snapToGrid w:val="0"/>
                <w:kern w:val="0"/>
                <w:sz w:val="24"/>
              </w:rPr>
              <w:t>招标人名称：</w:t>
            </w:r>
            <w:r>
              <w:rPr>
                <w:rFonts w:hint="eastAsia" w:ascii="宋体" w:hAnsi="宋体" w:cs="宋体"/>
                <w:color w:val="000000"/>
                <w:sz w:val="24"/>
                <w:szCs w:val="24"/>
              </w:rPr>
              <w:t>中国重汽集团济南专用车有限公司</w:t>
            </w:r>
            <w:r>
              <w:rPr>
                <w:rFonts w:hint="eastAsia" w:ascii="宋体" w:hAnsi="宋体"/>
                <w:bCs/>
                <w:snapToGrid w:val="0"/>
                <w:kern w:val="0"/>
                <w:sz w:val="24"/>
              </w:rPr>
              <w:t xml:space="preserve"> </w:t>
            </w:r>
          </w:p>
          <w:p>
            <w:pPr>
              <w:autoSpaceDE w:val="0"/>
              <w:autoSpaceDN w:val="0"/>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联 系 人： 杨科、 李谦谦</w:t>
            </w:r>
          </w:p>
          <w:p>
            <w:pPr>
              <w:autoSpaceDE w:val="0"/>
              <w:autoSpaceDN w:val="0"/>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联系电话:  18678837666/ 13793122912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0"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sz w:val="24"/>
                <w:szCs w:val="24"/>
              </w:rPr>
            </w:pPr>
            <w:r>
              <w:rPr>
                <w:rFonts w:hint="eastAsia" w:ascii="宋体" w:hAnsi="宋体" w:cs="宋体"/>
                <w:sz w:val="24"/>
              </w:rPr>
              <w:t>3</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480" w:firstLineChars="200"/>
              <w:rPr>
                <w:rFonts w:hint="eastAsia" w:ascii="宋体" w:hAnsi="宋体" w:cs="宋体"/>
                <w:sz w:val="24"/>
                <w:szCs w:val="24"/>
              </w:rPr>
            </w:pPr>
            <w:r>
              <w:rPr>
                <w:rFonts w:hint="eastAsia" w:ascii="宋体" w:hAnsi="宋体"/>
                <w:bCs/>
                <w:snapToGrid w:val="0"/>
                <w:kern w:val="0"/>
                <w:sz w:val="24"/>
              </w:rPr>
              <w:t>招标代理机构</w:t>
            </w:r>
            <w:r>
              <w:rPr>
                <w:rFonts w:hint="eastAsia" w:ascii="宋体" w:hAnsi="宋体"/>
                <w:sz w:val="24"/>
              </w:rPr>
              <w:t>：</w:t>
            </w:r>
            <w:r>
              <w:rPr>
                <w:rFonts w:ascii="宋体" w:hAnsi="宋体"/>
                <w:sz w:val="24"/>
              </w:rPr>
              <w:t xml:space="preserve"> </w:t>
            </w:r>
            <w:r>
              <w:rPr>
                <w:rFonts w:hint="eastAsia" w:ascii="宋体" w:hAnsi="宋体"/>
                <w:sz w:val="24"/>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4"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sz w:val="24"/>
                <w:szCs w:val="24"/>
              </w:rPr>
            </w:pPr>
            <w:r>
              <w:rPr>
                <w:rFonts w:hint="eastAsia" w:ascii="宋体" w:hAnsi="宋体" w:cs="宋体"/>
                <w:sz w:val="24"/>
              </w:rPr>
              <w:t>4</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480" w:firstLineChars="200"/>
              <w:rPr>
                <w:rFonts w:hint="eastAsia" w:ascii="宋体" w:hAnsi="宋体"/>
                <w:sz w:val="24"/>
                <w:szCs w:val="24"/>
              </w:rPr>
            </w:pPr>
            <w:r>
              <w:rPr>
                <w:rFonts w:hint="eastAsia" w:ascii="宋体" w:hAnsi="宋体" w:cs="宋体"/>
                <w:sz w:val="24"/>
              </w:rPr>
              <w:t>资金来源：</w:t>
            </w:r>
            <w:r>
              <w:rPr>
                <w:rFonts w:hint="eastAsia" w:ascii="宋体" w:hAnsi="宋体"/>
                <w:kern w:val="0"/>
                <w:sz w:val="24"/>
              </w:rPr>
              <w:t>企业自筹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sz w:val="24"/>
                <w:szCs w:val="24"/>
              </w:rPr>
            </w:pPr>
            <w:r>
              <w:rPr>
                <w:rFonts w:hint="eastAsia" w:ascii="宋体" w:hAnsi="宋体" w:cs="宋体"/>
                <w:sz w:val="24"/>
              </w:rPr>
              <w:t>5</w:t>
            </w:r>
          </w:p>
        </w:tc>
        <w:tc>
          <w:tcPr>
            <w:tcW w:w="8305" w:type="dxa"/>
            <w:tcBorders>
              <w:top w:val="single" w:color="auto" w:sz="2" w:space="0"/>
              <w:left w:val="single" w:color="auto" w:sz="2" w:space="0"/>
              <w:bottom w:val="single" w:color="auto" w:sz="2" w:space="0"/>
              <w:right w:val="single" w:color="auto" w:sz="2" w:space="0"/>
            </w:tcBorders>
            <w:vAlign w:val="center"/>
          </w:tcPr>
          <w:p>
            <w:pPr>
              <w:pStyle w:val="25"/>
              <w:spacing w:after="0" w:line="360" w:lineRule="auto"/>
              <w:ind w:firstLine="480" w:firstLineChars="200"/>
              <w:rPr>
                <w:rFonts w:hint="eastAsia" w:ascii="宋体" w:hAnsi="宋体"/>
                <w:sz w:val="24"/>
              </w:rPr>
            </w:pPr>
            <w:r>
              <w:rPr>
                <w:rFonts w:hint="eastAsia" w:ascii="宋体" w:hAnsi="宋体"/>
                <w:sz w:val="24"/>
              </w:rPr>
              <w:t>合格投标人：</w:t>
            </w:r>
          </w:p>
          <w:p>
            <w:pPr>
              <w:spacing w:line="360" w:lineRule="auto"/>
              <w:ind w:firstLine="480"/>
              <w:rPr>
                <w:rFonts w:hint="eastAsia" w:ascii="宋体" w:hAnsi="宋体"/>
                <w:sz w:val="24"/>
              </w:rPr>
            </w:pPr>
            <w:r>
              <w:rPr>
                <w:rFonts w:hint="eastAsia" w:ascii="宋体" w:hAnsi="宋体"/>
                <w:sz w:val="24"/>
              </w:rPr>
              <w:t>同第一章招标公告第三条“投标人资格要求”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ind w:firstLine="482"/>
              <w:jc w:val="center"/>
              <w:rPr>
                <w:rFonts w:hint="eastAsia" w:ascii="宋体" w:hAnsi="宋体"/>
                <w:b/>
                <w:bCs/>
                <w:sz w:val="24"/>
                <w:szCs w:val="24"/>
              </w:rPr>
            </w:pPr>
            <w:r>
              <w:rPr>
                <w:rFonts w:hint="eastAsia" w:ascii="宋体" w:hAnsi="宋体" w:cs="宋体"/>
                <w:b/>
                <w:bCs/>
                <w:sz w:val="24"/>
              </w:rPr>
              <w:t>招标文件的答疑、澄清和修改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sz w:val="24"/>
                <w:szCs w:val="24"/>
              </w:rPr>
            </w:pPr>
            <w:r>
              <w:rPr>
                <w:rFonts w:hint="eastAsia" w:ascii="宋体" w:hAnsi="宋体" w:cs="宋体"/>
                <w:sz w:val="24"/>
              </w:rPr>
              <w:t>6</w:t>
            </w:r>
          </w:p>
        </w:tc>
        <w:tc>
          <w:tcPr>
            <w:tcW w:w="8305"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ind w:firstLine="480" w:firstLineChars="200"/>
              <w:rPr>
                <w:rFonts w:hint="eastAsia" w:ascii="宋体" w:hAnsi="宋体"/>
                <w:sz w:val="24"/>
                <w:szCs w:val="24"/>
              </w:rPr>
            </w:pPr>
            <w:r>
              <w:rPr>
                <w:rFonts w:hint="eastAsia" w:ascii="宋体" w:hAnsi="宋体" w:cs="宋体"/>
                <w:sz w:val="24"/>
              </w:rPr>
              <w:t>提交疑问时间：</w:t>
            </w:r>
            <w:r>
              <w:rPr>
                <w:rFonts w:hint="eastAsia"/>
                <w:b/>
                <w:sz w:val="24"/>
                <w:u w:val="single"/>
              </w:rPr>
              <w:t xml:space="preserve">  2024年11月14 日17时</w:t>
            </w:r>
            <w:r>
              <w:rPr>
                <w:b/>
                <w:sz w:val="24"/>
                <w:u w:val="single"/>
              </w:rPr>
              <w:t>00</w:t>
            </w:r>
            <w:r>
              <w:rPr>
                <w:rFonts w:hint="eastAsia"/>
                <w:b/>
                <w:sz w:val="24"/>
                <w:u w:val="single"/>
              </w:rPr>
              <w:t>分</w:t>
            </w:r>
            <w:r>
              <w:rPr>
                <w:rFonts w:hint="eastAsia"/>
                <w:b/>
                <w:sz w:val="24"/>
              </w:rPr>
              <w:t>前</w:t>
            </w:r>
            <w:r>
              <w:rPr>
                <w:rFonts w:hint="eastAsia" w:ascii="宋体" w:hAnsi="宋体" w:cs="宋体"/>
                <w:sz w:val="24"/>
              </w:rPr>
              <w:t>。</w:t>
            </w:r>
          </w:p>
          <w:p>
            <w:pPr>
              <w:snapToGrid w:val="0"/>
              <w:spacing w:line="360" w:lineRule="auto"/>
              <w:ind w:firstLine="480" w:firstLineChars="200"/>
              <w:jc w:val="left"/>
              <w:rPr>
                <w:rFonts w:hint="eastAsia" w:ascii="宋体" w:hAnsi="宋体"/>
                <w:b/>
                <w:sz w:val="24"/>
                <w:u w:val="single"/>
              </w:rPr>
            </w:pPr>
            <w:r>
              <w:rPr>
                <w:rFonts w:hint="eastAsia" w:ascii="宋体" w:hAnsi="宋体" w:cs="宋体"/>
                <w:sz w:val="24"/>
              </w:rPr>
              <w:t>提交疑问方式：</w:t>
            </w:r>
            <w:r>
              <w:fldChar w:fldCharType="begin"/>
            </w:r>
            <w:r>
              <w:instrText xml:space="preserve"> HYPERLINK "mailto:将答疑问题发邮件至15762268551@139.com%20" </w:instrText>
            </w:r>
            <w:r>
              <w:fldChar w:fldCharType="separate"/>
            </w:r>
            <w:r>
              <w:rPr>
                <w:rFonts w:hint="eastAsia" w:ascii="宋体" w:hAnsi="宋体" w:cs="宋体"/>
                <w:sz w:val="24"/>
              </w:rPr>
              <w:t>将答疑问题发邮件至</w:t>
            </w:r>
            <w:r>
              <w:rPr>
                <w:rFonts w:hint="eastAsia" w:ascii="宋体" w:hAnsi="宋体" w:cs="宋体"/>
                <w:sz w:val="24"/>
              </w:rPr>
              <w:fldChar w:fldCharType="end"/>
            </w:r>
            <w:r>
              <w:rPr>
                <w:rFonts w:hint="eastAsia" w:ascii="宋体" w:hAnsi="宋体" w:cs="宋体"/>
                <w:sz w:val="24"/>
                <w:szCs w:val="24"/>
                <w:lang w:val="en-US" w:eastAsia="zh-CN"/>
              </w:rPr>
              <w:t>18615183829@163.</w:t>
            </w:r>
            <w:r>
              <w:rPr>
                <w:rFonts w:hint="eastAsia" w:ascii="宋体" w:hAnsi="宋体" w:cs="宋体"/>
                <w:sz w:val="24"/>
                <w:szCs w:val="24"/>
              </w:rPr>
              <w:t>com</w:t>
            </w:r>
            <w:r>
              <w:rPr>
                <w:rFonts w:hint="eastAsia" w:ascii="宋体" w:hAnsi="宋体" w:cs="宋体"/>
                <w:sz w:val="24"/>
              </w:rPr>
              <w:t xml:space="preserve">并电话通知招标人。 </w:t>
            </w:r>
            <w:r>
              <w:rPr>
                <w:rFonts w:hint="eastAsia" w:ascii="宋体" w:hAnsi="宋体"/>
                <w:b/>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sz w:val="24"/>
                <w:szCs w:val="24"/>
              </w:rPr>
            </w:pPr>
            <w:r>
              <w:rPr>
                <w:rFonts w:hint="eastAsia" w:ascii="宋体" w:hAnsi="宋体" w:cs="宋体"/>
                <w:sz w:val="24"/>
              </w:rPr>
              <w:t>7</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480" w:firstLineChars="200"/>
              <w:rPr>
                <w:rFonts w:hint="eastAsia" w:ascii="宋体" w:hAnsi="宋体"/>
                <w:sz w:val="24"/>
                <w:szCs w:val="24"/>
              </w:rPr>
            </w:pPr>
            <w:r>
              <w:rPr>
                <w:rFonts w:hint="eastAsia" w:ascii="宋体" w:hAnsi="宋体"/>
                <w:sz w:val="24"/>
              </w:rPr>
              <w:t>答疑、澄清和修改文件方式：招标人将以电子邮件的方式将招标文件的答疑澄清文件发送至投标报名时登记的电子邮箱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ind w:firstLine="482"/>
              <w:jc w:val="center"/>
              <w:rPr>
                <w:rFonts w:hint="eastAsia" w:ascii="宋体" w:hAnsi="宋体"/>
                <w:b/>
                <w:bCs/>
                <w:sz w:val="24"/>
                <w:szCs w:val="24"/>
              </w:rPr>
            </w:pPr>
            <w:r>
              <w:rPr>
                <w:rFonts w:hint="eastAsia" w:ascii="宋体" w:hAnsi="宋体" w:cs="宋体"/>
                <w:b/>
                <w:bCs/>
                <w:sz w:val="24"/>
              </w:rPr>
              <w:t>投标文件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sz w:val="24"/>
                <w:szCs w:val="24"/>
              </w:rPr>
            </w:pPr>
            <w:r>
              <w:rPr>
                <w:rFonts w:hint="eastAsia" w:ascii="宋体" w:hAnsi="宋体" w:cs="宋体"/>
                <w:sz w:val="24"/>
              </w:rPr>
              <w:t>8</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480" w:firstLineChars="200"/>
              <w:rPr>
                <w:rFonts w:hint="eastAsia" w:ascii="宋体" w:hAnsi="宋体"/>
                <w:sz w:val="24"/>
                <w:szCs w:val="24"/>
              </w:rPr>
            </w:pPr>
            <w:r>
              <w:rPr>
                <w:rFonts w:hint="eastAsia" w:ascii="宋体" w:hAnsi="宋体" w:cs="宋体"/>
                <w:sz w:val="24"/>
              </w:rPr>
              <w:t>“投标文件组成”详见“投标人须知”第9条。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sz w:val="24"/>
                <w:szCs w:val="24"/>
              </w:rPr>
            </w:pPr>
            <w:r>
              <w:rPr>
                <w:rFonts w:hint="eastAsia" w:ascii="宋体" w:hAnsi="宋体" w:cs="宋体"/>
                <w:sz w:val="24"/>
              </w:rPr>
              <w:t>9</w:t>
            </w:r>
          </w:p>
        </w:tc>
        <w:tc>
          <w:tcPr>
            <w:tcW w:w="8305" w:type="dxa"/>
            <w:tcBorders>
              <w:top w:val="single" w:color="auto" w:sz="2" w:space="0"/>
              <w:left w:val="single" w:color="auto" w:sz="2" w:space="0"/>
              <w:bottom w:val="single" w:color="auto" w:sz="2" w:space="0"/>
              <w:right w:val="single" w:color="auto" w:sz="2" w:space="0"/>
            </w:tcBorders>
            <w:vAlign w:val="center"/>
          </w:tcPr>
          <w:p>
            <w:pPr>
              <w:pStyle w:val="30"/>
              <w:spacing w:after="0" w:line="360" w:lineRule="auto"/>
              <w:ind w:firstLine="480"/>
              <w:rPr>
                <w:rFonts w:hint="eastAsia" w:ascii="宋体" w:hAnsi="宋体"/>
                <w:sz w:val="24"/>
                <w:szCs w:val="24"/>
              </w:rPr>
            </w:pPr>
            <w:r>
              <w:rPr>
                <w:rFonts w:hint="eastAsia" w:ascii="宋体" w:hAnsi="宋体" w:cs="宋体"/>
                <w:sz w:val="24"/>
              </w:rPr>
              <w:t>投标文件份数：</w:t>
            </w:r>
          </w:p>
          <w:p>
            <w:pPr>
              <w:pStyle w:val="30"/>
              <w:numPr>
                <w:ilvl w:val="0"/>
                <w:numId w:val="9"/>
              </w:numPr>
              <w:spacing w:after="0" w:line="360" w:lineRule="auto"/>
              <w:ind w:firstLine="480"/>
              <w:rPr>
                <w:rFonts w:hint="eastAsia" w:ascii="宋体" w:hAnsi="宋体" w:cs="宋体"/>
                <w:sz w:val="24"/>
              </w:rPr>
            </w:pPr>
            <w:r>
              <w:rPr>
                <w:rFonts w:hint="eastAsia" w:ascii="宋体" w:hAnsi="宋体" w:cs="宋体"/>
                <w:sz w:val="24"/>
              </w:rPr>
              <w:t>资格审查文件一份，单独密封；</w:t>
            </w:r>
          </w:p>
          <w:p>
            <w:pPr>
              <w:pStyle w:val="30"/>
              <w:numPr>
                <w:ilvl w:val="0"/>
                <w:numId w:val="9"/>
              </w:numPr>
              <w:spacing w:after="0" w:line="360" w:lineRule="auto"/>
              <w:ind w:firstLine="480"/>
              <w:rPr>
                <w:rFonts w:hint="eastAsia" w:ascii="宋体" w:hAnsi="宋体" w:cs="宋体"/>
                <w:sz w:val="24"/>
              </w:rPr>
            </w:pPr>
            <w:r>
              <w:rPr>
                <w:rFonts w:hint="eastAsia" w:ascii="宋体" w:hAnsi="宋体" w:cs="宋体"/>
                <w:sz w:val="24"/>
              </w:rPr>
              <w:t>开标一览表纸质版加盖公章+USB设备存储的EXCEL电子版开标一览表一份，USB接口存储设备不退还</w:t>
            </w:r>
            <w:r>
              <w:rPr>
                <w:rFonts w:hint="eastAsia" w:ascii="宋体" w:hAnsi="宋体" w:cs="宋体"/>
                <w:b/>
                <w:sz w:val="24"/>
              </w:rPr>
              <w:t>。</w:t>
            </w:r>
          </w:p>
          <w:p>
            <w:pPr>
              <w:pStyle w:val="30"/>
              <w:spacing w:after="0" w:line="360" w:lineRule="auto"/>
              <w:ind w:firstLine="480"/>
              <w:rPr>
                <w:rFonts w:hint="eastAsia" w:ascii="宋体" w:hAnsi="宋体" w:cs="宋体"/>
                <w:sz w:val="24"/>
                <w:szCs w:val="24"/>
              </w:rPr>
            </w:pPr>
            <w:r>
              <w:rPr>
                <w:rFonts w:hint="eastAsia" w:ascii="宋体" w:hAnsi="宋体" w:cs="宋体"/>
                <w:sz w:val="24"/>
              </w:rPr>
              <w:t>3、技术文件正本一份和副本二份，</w:t>
            </w:r>
            <w:r>
              <w:rPr>
                <w:rFonts w:hint="eastAsia" w:ascii="宋体" w:hAnsi="宋体" w:cs="宋体"/>
                <w:sz w:val="24"/>
                <w:szCs w:val="24"/>
              </w:rPr>
              <w:t>正、副本密封在一起，正本在最上。</w:t>
            </w:r>
          </w:p>
          <w:p>
            <w:pPr>
              <w:pStyle w:val="30"/>
              <w:spacing w:after="0" w:line="360" w:lineRule="auto"/>
              <w:ind w:firstLine="48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rPr>
              <w:t>商务文件正本一份和副本二份，</w:t>
            </w:r>
            <w:r>
              <w:rPr>
                <w:rFonts w:hint="eastAsia" w:ascii="宋体" w:hAnsi="宋体" w:cs="宋体"/>
                <w:sz w:val="24"/>
                <w:szCs w:val="24"/>
              </w:rPr>
              <w:t>正、副本密封在一起，正本在最上。</w:t>
            </w:r>
          </w:p>
          <w:p>
            <w:pPr>
              <w:pStyle w:val="30"/>
              <w:spacing w:after="0" w:line="360" w:lineRule="auto"/>
              <w:ind w:firstLine="482"/>
              <w:rPr>
                <w:rFonts w:hint="eastAsia" w:ascii="宋体" w:hAnsi="宋体"/>
                <w:sz w:val="24"/>
              </w:rPr>
            </w:pPr>
            <w:r>
              <w:rPr>
                <w:rFonts w:hint="eastAsia" w:ascii="宋体" w:hAnsi="宋体" w:cs="宋体"/>
                <w:b/>
                <w:bCs/>
                <w:sz w:val="24"/>
              </w:rPr>
              <w:t>（</w:t>
            </w:r>
            <w:r>
              <w:rPr>
                <w:rFonts w:hint="eastAsia" w:ascii="宋体" w:hAnsi="宋体" w:cs="宋体"/>
                <w:b/>
                <w:bCs/>
                <w:color w:val="FF0000"/>
                <w:sz w:val="24"/>
              </w:rPr>
              <w:t>上述1、2、3、4分别密封，不得在同一密封袋内</w:t>
            </w:r>
            <w:r>
              <w:rPr>
                <w:rFonts w:hint="eastAsia" w:ascii="宋体" w:hAnsi="宋体" w:cs="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sz w:val="24"/>
                <w:szCs w:val="24"/>
              </w:rPr>
            </w:pPr>
            <w:r>
              <w:rPr>
                <w:rFonts w:hint="eastAsia" w:ascii="宋体" w:hAnsi="宋体" w:cs="宋体"/>
                <w:sz w:val="24"/>
              </w:rPr>
              <w:t>10</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480" w:firstLineChars="200"/>
              <w:rPr>
                <w:rFonts w:hint="eastAsia" w:ascii="宋体" w:hAnsi="宋体"/>
                <w:sz w:val="24"/>
                <w:szCs w:val="24"/>
              </w:rPr>
            </w:pPr>
            <w:r>
              <w:rPr>
                <w:rFonts w:hint="eastAsia" w:ascii="宋体" w:hAnsi="宋体" w:cs="宋体"/>
                <w:sz w:val="24"/>
              </w:rPr>
              <w:t>投标文件密封和标记：</w:t>
            </w:r>
          </w:p>
          <w:p>
            <w:pPr>
              <w:spacing w:line="360" w:lineRule="auto"/>
              <w:ind w:firstLine="480" w:firstLineChars="200"/>
              <w:rPr>
                <w:rFonts w:hint="eastAsia" w:ascii="宋体" w:hAnsi="宋体" w:cs="宋体"/>
                <w:sz w:val="24"/>
              </w:rPr>
            </w:pPr>
            <w:r>
              <w:rPr>
                <w:rFonts w:hint="eastAsia" w:ascii="宋体" w:hAnsi="宋体" w:cs="宋体"/>
                <w:sz w:val="24"/>
              </w:rPr>
              <w:t>投标人应将上述1、2、3、4分别密封后再密封在一个包封内，并在封面明显处注明以下内容：</w:t>
            </w:r>
          </w:p>
          <w:p>
            <w:pPr>
              <w:spacing w:line="360" w:lineRule="auto"/>
              <w:ind w:firstLine="480" w:firstLineChars="200"/>
              <w:rPr>
                <w:rFonts w:hint="eastAsia" w:ascii="宋体" w:hAnsi="宋体"/>
                <w:sz w:val="24"/>
              </w:rPr>
            </w:pPr>
            <w:r>
              <w:rPr>
                <w:rFonts w:hint="eastAsia" w:ascii="宋体" w:hAnsi="宋体" w:cs="宋体"/>
                <w:sz w:val="24"/>
              </w:rPr>
              <w:t>1) 项目编号、项目名称</w:t>
            </w:r>
          </w:p>
          <w:p>
            <w:pPr>
              <w:spacing w:line="360" w:lineRule="auto"/>
              <w:ind w:firstLine="480" w:firstLineChars="200"/>
              <w:rPr>
                <w:rFonts w:hint="eastAsia" w:ascii="宋体" w:hAnsi="宋体"/>
                <w:sz w:val="24"/>
              </w:rPr>
            </w:pPr>
            <w:r>
              <w:rPr>
                <w:rFonts w:hint="eastAsia" w:ascii="宋体" w:hAnsi="宋体" w:cs="宋体"/>
                <w:sz w:val="24"/>
              </w:rPr>
              <w:t>2) 招标文件正本和副本、电子版或开标一览表</w:t>
            </w:r>
          </w:p>
          <w:p>
            <w:pPr>
              <w:spacing w:line="360" w:lineRule="auto"/>
              <w:ind w:firstLine="480" w:firstLineChars="200"/>
              <w:rPr>
                <w:rFonts w:hint="eastAsia" w:ascii="宋体" w:hAnsi="宋体"/>
                <w:sz w:val="24"/>
              </w:rPr>
            </w:pPr>
            <w:r>
              <w:rPr>
                <w:rFonts w:hint="eastAsia" w:ascii="宋体" w:hAnsi="宋体" w:cs="宋体"/>
                <w:sz w:val="24"/>
              </w:rPr>
              <w:t>3) 投标人名称（加盖公章）、地址、邮编、电话、传真</w:t>
            </w:r>
          </w:p>
          <w:p>
            <w:pPr>
              <w:spacing w:line="360" w:lineRule="auto"/>
              <w:ind w:firstLine="480" w:firstLineChars="200"/>
              <w:rPr>
                <w:rFonts w:hint="eastAsia" w:ascii="宋体" w:hAnsi="宋体" w:cs="宋体"/>
                <w:sz w:val="24"/>
              </w:rPr>
            </w:pPr>
            <w:r>
              <w:rPr>
                <w:rFonts w:hint="eastAsia" w:ascii="宋体" w:hAnsi="宋体" w:cs="宋体"/>
                <w:sz w:val="24"/>
              </w:rPr>
              <w:t>4）每一密封件在封口处注明“于</w:t>
            </w:r>
            <w:r>
              <w:rPr>
                <w:rFonts w:hint="eastAsia" w:ascii="宋体" w:hAnsi="宋体" w:cs="宋体"/>
                <w:sz w:val="24"/>
                <w:u w:val="single"/>
              </w:rPr>
              <w:t xml:space="preserve">  2024  </w:t>
            </w:r>
            <w:r>
              <w:rPr>
                <w:rFonts w:hint="eastAsia" w:ascii="宋体" w:hAnsi="宋体" w:cs="宋体"/>
                <w:sz w:val="24"/>
              </w:rPr>
              <w:t>年</w:t>
            </w:r>
            <w:r>
              <w:rPr>
                <w:rFonts w:hint="eastAsia" w:ascii="宋体" w:hAnsi="宋体" w:cs="宋体"/>
                <w:sz w:val="24"/>
                <w:u w:val="single"/>
              </w:rPr>
              <w:t>11</w:t>
            </w:r>
            <w:r>
              <w:rPr>
                <w:rFonts w:hint="eastAsia" w:ascii="宋体" w:hAnsi="宋体" w:cs="宋体"/>
                <w:sz w:val="24"/>
              </w:rPr>
              <w:t>月</w:t>
            </w:r>
            <w:r>
              <w:rPr>
                <w:rFonts w:hint="eastAsia" w:ascii="宋体" w:hAnsi="宋体" w:cs="宋体"/>
                <w:sz w:val="24"/>
                <w:u w:val="single"/>
              </w:rPr>
              <w:t xml:space="preserve"> 15</w:t>
            </w:r>
            <w:r>
              <w:rPr>
                <w:rFonts w:hint="eastAsia" w:ascii="宋体" w:hAnsi="宋体" w:cs="宋体"/>
                <w:sz w:val="24"/>
              </w:rPr>
              <w:t>日</w:t>
            </w:r>
            <w:r>
              <w:rPr>
                <w:rFonts w:hint="eastAsia" w:ascii="宋体" w:hAnsi="宋体" w:cs="宋体"/>
                <w:sz w:val="24"/>
                <w:u w:val="single"/>
              </w:rPr>
              <w:t xml:space="preserve"> 9 </w:t>
            </w:r>
            <w:r>
              <w:rPr>
                <w:rFonts w:hint="eastAsia" w:ascii="宋体" w:hAnsi="宋体" w:cs="宋体"/>
                <w:sz w:val="24"/>
              </w:rPr>
              <w:t>时</w:t>
            </w:r>
            <w:r>
              <w:rPr>
                <w:rFonts w:hint="eastAsia" w:ascii="宋体" w:hAnsi="宋体" w:cs="宋体"/>
                <w:sz w:val="24"/>
                <w:u w:val="single"/>
              </w:rPr>
              <w:t xml:space="preserve"> 00 </w:t>
            </w:r>
            <w:r>
              <w:rPr>
                <w:rFonts w:hint="eastAsia" w:ascii="宋体" w:hAnsi="宋体" w:cs="宋体"/>
                <w:sz w:val="24"/>
              </w:rPr>
              <w:t>分之前不准启封”字样。</w:t>
            </w:r>
          </w:p>
          <w:p>
            <w:pPr>
              <w:spacing w:line="360" w:lineRule="auto"/>
              <w:ind w:firstLine="480" w:firstLineChars="200"/>
              <w:rPr>
                <w:rFonts w:hint="eastAsia" w:ascii="宋体" w:hAnsi="宋体"/>
                <w:sz w:val="24"/>
              </w:rPr>
            </w:pPr>
            <w:r>
              <w:rPr>
                <w:rFonts w:hint="eastAsia" w:ascii="宋体" w:hAnsi="宋体" w:cs="宋体"/>
                <w:sz w:val="24"/>
              </w:rPr>
              <w:t>注：未按以上要求密封和标记的按无效投标处理。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48"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sz w:val="24"/>
                <w:szCs w:val="24"/>
              </w:rPr>
            </w:pPr>
            <w:r>
              <w:rPr>
                <w:rFonts w:hint="eastAsia" w:ascii="宋体" w:hAnsi="宋体" w:cs="宋体"/>
                <w:sz w:val="24"/>
              </w:rPr>
              <w:t>11</w:t>
            </w:r>
          </w:p>
        </w:tc>
        <w:tc>
          <w:tcPr>
            <w:tcW w:w="8305" w:type="dxa"/>
            <w:tcBorders>
              <w:top w:val="single" w:color="auto" w:sz="2" w:space="0"/>
              <w:left w:val="single" w:color="auto" w:sz="2" w:space="0"/>
              <w:bottom w:val="single" w:color="auto" w:sz="2" w:space="0"/>
              <w:right w:val="single" w:color="auto" w:sz="2" w:space="0"/>
            </w:tcBorders>
            <w:vAlign w:val="center"/>
          </w:tcPr>
          <w:p>
            <w:pPr>
              <w:pStyle w:val="30"/>
              <w:spacing w:after="0" w:line="360" w:lineRule="auto"/>
              <w:ind w:firstLine="480" w:firstLineChars="200"/>
              <w:rPr>
                <w:rFonts w:hint="eastAsia" w:ascii="宋体" w:hAnsi="宋体" w:cs="宋体"/>
                <w:sz w:val="24"/>
              </w:rPr>
            </w:pPr>
            <w:r>
              <w:rPr>
                <w:rFonts w:hint="eastAsia" w:ascii="宋体" w:hAnsi="宋体" w:cs="宋体"/>
                <w:sz w:val="24"/>
              </w:rPr>
              <w:t>投标文件的装订：</w:t>
            </w:r>
          </w:p>
          <w:p>
            <w:pPr>
              <w:pStyle w:val="30"/>
              <w:spacing w:after="0" w:line="360" w:lineRule="auto"/>
              <w:ind w:firstLine="480" w:firstLineChars="200"/>
              <w:rPr>
                <w:rFonts w:hint="eastAsia" w:ascii="宋体" w:hAnsi="宋体"/>
                <w:kern w:val="2"/>
                <w:sz w:val="24"/>
              </w:rPr>
            </w:pPr>
            <w:r>
              <w:rPr>
                <w:rFonts w:hint="eastAsia" w:ascii="宋体" w:hAnsi="宋体" w:cs="宋体"/>
                <w:sz w:val="24"/>
              </w:rPr>
              <w:t>投标人必须将投标文件按照投标文件组成的顺序分别装订成册，并在首页编制“投标文件目录”。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ind w:firstLine="482"/>
              <w:jc w:val="center"/>
              <w:rPr>
                <w:rFonts w:hint="eastAsia" w:ascii="宋体" w:hAnsi="宋体"/>
                <w:b/>
                <w:bCs/>
                <w:sz w:val="24"/>
                <w:szCs w:val="24"/>
              </w:rPr>
            </w:pPr>
            <w:r>
              <w:rPr>
                <w:rFonts w:hint="eastAsia" w:ascii="宋体" w:hAnsi="宋体" w:cs="宋体"/>
                <w:b/>
                <w:bCs/>
                <w:sz w:val="24"/>
              </w:rPr>
              <w:t>投标保证金及投标有效期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sz w:val="24"/>
                <w:szCs w:val="24"/>
              </w:rPr>
            </w:pPr>
            <w:r>
              <w:rPr>
                <w:rFonts w:hint="eastAsia" w:ascii="宋体" w:hAnsi="宋体" w:cs="宋体"/>
                <w:sz w:val="24"/>
              </w:rPr>
              <w:t>12</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480" w:firstLineChars="200"/>
              <w:rPr>
                <w:sz w:val="24"/>
              </w:rPr>
            </w:pPr>
            <w:r>
              <w:rPr>
                <w:sz w:val="24"/>
              </w:rPr>
              <w:t>1</w:t>
            </w:r>
            <w:r>
              <w:rPr>
                <w:rFonts w:hint="eastAsia"/>
                <w:sz w:val="24"/>
              </w:rPr>
              <w:t>、投标保证金的形式：</w:t>
            </w:r>
            <w:r>
              <w:rPr>
                <w:rFonts w:hint="eastAsia" w:ascii="宋体" w:hAnsi="宋体" w:cs="宋体"/>
                <w:sz w:val="24"/>
              </w:rPr>
              <w:t>电汇或网银</w:t>
            </w:r>
          </w:p>
          <w:p>
            <w:pPr>
              <w:spacing w:line="360" w:lineRule="auto"/>
              <w:ind w:firstLine="480" w:firstLineChars="200"/>
              <w:rPr>
                <w:i/>
                <w:iCs/>
                <w:sz w:val="24"/>
              </w:rPr>
            </w:pPr>
            <w:r>
              <w:rPr>
                <w:sz w:val="24"/>
              </w:rPr>
              <w:t>2</w:t>
            </w:r>
            <w:r>
              <w:rPr>
                <w:rFonts w:hint="eastAsia"/>
                <w:sz w:val="24"/>
              </w:rPr>
              <w:t>、投标保证金的金额：</w:t>
            </w:r>
            <w:r>
              <w:rPr>
                <w:rFonts w:hint="eastAsia"/>
                <w:b/>
                <w:sz w:val="24"/>
              </w:rPr>
              <w:t>人民币</w:t>
            </w:r>
            <w:r>
              <w:rPr>
                <w:b/>
                <w:sz w:val="24"/>
                <w:u w:val="single"/>
              </w:rPr>
              <w:t xml:space="preserve"> </w:t>
            </w:r>
            <w:r>
              <w:rPr>
                <w:rFonts w:hint="eastAsia"/>
                <w:b/>
                <w:sz w:val="24"/>
                <w:u w:val="single"/>
              </w:rPr>
              <w:t>20000</w:t>
            </w:r>
            <w:r>
              <w:rPr>
                <w:rFonts w:hint="eastAsia"/>
                <w:b/>
                <w:sz w:val="24"/>
              </w:rPr>
              <w:t>元（贰万元整），</w:t>
            </w:r>
            <w:r>
              <w:rPr>
                <w:rFonts w:hint="eastAsia"/>
                <w:b/>
                <w:color w:val="000000" w:themeColor="text1"/>
                <w:sz w:val="24"/>
                <w14:textFill>
                  <w14:solidFill>
                    <w14:schemeClr w14:val="tx1"/>
                  </w14:solidFill>
                </w14:textFill>
              </w:rPr>
              <w:t>集团智能物流及济南专用车公司现有签约单位可免缴。</w:t>
            </w:r>
          </w:p>
          <w:p>
            <w:pPr>
              <w:spacing w:line="360" w:lineRule="auto"/>
              <w:ind w:firstLine="960" w:firstLineChars="400"/>
              <w:rPr>
                <w:sz w:val="24"/>
              </w:rPr>
            </w:pPr>
            <w:r>
              <w:rPr>
                <w:rFonts w:hint="eastAsia"/>
                <w:sz w:val="24"/>
              </w:rPr>
              <w:t>账户名称：</w:t>
            </w:r>
            <w:r>
              <w:rPr>
                <w:rFonts w:hint="eastAsia" w:ascii="宋体" w:hAnsi="宋体" w:cs="宋体"/>
                <w:color w:val="000000"/>
                <w:sz w:val="24"/>
                <w:szCs w:val="24"/>
              </w:rPr>
              <w:t>中国重汽集团济南专用车有限公司</w:t>
            </w:r>
          </w:p>
          <w:p>
            <w:pPr>
              <w:spacing w:line="360" w:lineRule="auto"/>
              <w:ind w:firstLine="960" w:firstLineChars="400"/>
              <w:rPr>
                <w:rFonts w:hint="eastAsia" w:ascii="宋体" w:hAnsi="宋体" w:cs="宋体"/>
                <w:color w:val="000000"/>
                <w:sz w:val="24"/>
                <w:szCs w:val="24"/>
              </w:rPr>
            </w:pPr>
            <w:r>
              <w:rPr>
                <w:rFonts w:hint="eastAsia"/>
                <w:sz w:val="24"/>
              </w:rPr>
              <w:t>开户银行：</w:t>
            </w:r>
            <w:r>
              <w:rPr>
                <w:rFonts w:hint="eastAsia" w:ascii="宋体" w:hAnsi="宋体" w:cs="宋体"/>
                <w:color w:val="000000"/>
                <w:sz w:val="24"/>
                <w:szCs w:val="24"/>
              </w:rPr>
              <w:t>中国银行章丘支行</w:t>
            </w:r>
          </w:p>
          <w:p>
            <w:pPr>
              <w:spacing w:line="360" w:lineRule="auto"/>
              <w:ind w:firstLine="960" w:firstLineChars="400"/>
              <w:rPr>
                <w:sz w:val="24"/>
              </w:rPr>
            </w:pPr>
            <w:r>
              <w:rPr>
                <w:rFonts w:hint="eastAsia"/>
                <w:sz w:val="24"/>
              </w:rPr>
              <w:t>账    号：</w:t>
            </w:r>
            <w:r>
              <w:rPr>
                <w:rFonts w:hint="eastAsia" w:ascii="宋体" w:hAnsi="宋体" w:cs="宋体"/>
                <w:color w:val="000000"/>
                <w:sz w:val="24"/>
                <w:szCs w:val="24"/>
              </w:rPr>
              <w:t>227305574495</w:t>
            </w:r>
          </w:p>
          <w:p>
            <w:pPr>
              <w:spacing w:line="360" w:lineRule="auto"/>
              <w:ind w:firstLine="960" w:firstLineChars="400"/>
            </w:pPr>
            <w:r>
              <w:rPr>
                <w:rFonts w:hint="eastAsia"/>
                <w:color w:val="FF0000"/>
                <w:sz w:val="24"/>
              </w:rPr>
              <w:t>汇款备注：商品车存放场地租用项目投标保证金</w:t>
            </w:r>
          </w:p>
          <w:p>
            <w:pPr>
              <w:spacing w:line="360" w:lineRule="auto"/>
              <w:ind w:firstLine="480" w:firstLineChars="200"/>
              <w:rPr>
                <w:sz w:val="24"/>
                <w:highlight w:val="yellow"/>
              </w:rPr>
            </w:pPr>
            <w:r>
              <w:rPr>
                <w:sz w:val="24"/>
              </w:rPr>
              <w:t>3</w:t>
            </w:r>
            <w:r>
              <w:rPr>
                <w:rFonts w:hint="eastAsia"/>
                <w:sz w:val="24"/>
              </w:rPr>
              <w:t>、保证金截止时间：</w:t>
            </w:r>
            <w:r>
              <w:rPr>
                <w:rFonts w:hint="eastAsia"/>
                <w:b/>
                <w:sz w:val="24"/>
                <w:u w:val="single"/>
              </w:rPr>
              <w:t>2024年11月14日17时</w:t>
            </w:r>
            <w:r>
              <w:rPr>
                <w:b/>
                <w:sz w:val="24"/>
                <w:u w:val="single"/>
              </w:rPr>
              <w:t>00</w:t>
            </w:r>
            <w:r>
              <w:rPr>
                <w:rFonts w:hint="eastAsia"/>
                <w:b/>
                <w:sz w:val="24"/>
                <w:u w:val="single"/>
              </w:rPr>
              <w:t>分前</w:t>
            </w:r>
          </w:p>
          <w:p>
            <w:pPr>
              <w:spacing w:line="360" w:lineRule="auto"/>
              <w:ind w:firstLine="480" w:firstLineChars="200"/>
              <w:rPr>
                <w:sz w:val="24"/>
              </w:rPr>
            </w:pPr>
            <w:r>
              <w:rPr>
                <w:sz w:val="24"/>
              </w:rPr>
              <w:t>4</w:t>
            </w:r>
            <w:r>
              <w:rPr>
                <w:rFonts w:hint="eastAsia"/>
                <w:sz w:val="24"/>
              </w:rPr>
              <w:t>、投标保证金应从投标人的基本账户转出至上述账户并到账，否则视为无效投标。</w:t>
            </w:r>
          </w:p>
          <w:p>
            <w:pPr>
              <w:spacing w:line="360" w:lineRule="auto"/>
              <w:ind w:firstLine="480" w:firstLineChars="200"/>
              <w:rPr>
                <w:bCs/>
                <w:sz w:val="24"/>
              </w:rPr>
            </w:pPr>
            <w:r>
              <w:rPr>
                <w:rFonts w:hint="eastAsia"/>
                <w:sz w:val="24"/>
              </w:rPr>
              <w:t>5、</w:t>
            </w:r>
            <w:r>
              <w:rPr>
                <w:rFonts w:hint="eastAsia"/>
                <w:bCs/>
                <w:sz w:val="24"/>
              </w:rPr>
              <w:t>投标人应充分考虑银行信息交换时间，由此带来的保证金不能按时到帐的责任由投标人自行承担。</w:t>
            </w:r>
          </w:p>
          <w:p>
            <w:pPr>
              <w:spacing w:line="360" w:lineRule="auto"/>
              <w:ind w:firstLine="482" w:firstLineChars="200"/>
              <w:rPr>
                <w:rFonts w:hint="eastAsia" w:ascii="宋体" w:hAnsi="宋体"/>
                <w:b/>
                <w:bCs/>
                <w:sz w:val="24"/>
                <w:szCs w:val="24"/>
              </w:rPr>
            </w:pPr>
            <w:r>
              <w:rPr>
                <w:rFonts w:hint="eastAsia" w:hAnsi="宋体"/>
                <w:b/>
                <w:sz w:val="24"/>
                <w:szCs w:val="24"/>
              </w:rPr>
              <w:t>注：无正当理由随意放弃投标、</w:t>
            </w:r>
            <w:r>
              <w:rPr>
                <w:rFonts w:hAnsi="宋体"/>
                <w:b/>
                <w:sz w:val="24"/>
                <w:szCs w:val="24"/>
              </w:rPr>
              <w:t>撤销投标文件</w:t>
            </w:r>
            <w:r>
              <w:rPr>
                <w:rFonts w:hint="eastAsia" w:hAnsi="宋体"/>
                <w:b/>
                <w:sz w:val="24"/>
                <w:szCs w:val="24"/>
              </w:rPr>
              <w:t>、</w:t>
            </w:r>
            <w:r>
              <w:rPr>
                <w:rFonts w:hAnsi="宋体"/>
                <w:b/>
                <w:sz w:val="24"/>
                <w:szCs w:val="24"/>
              </w:rPr>
              <w:t>中标后</w:t>
            </w:r>
            <w:r>
              <w:rPr>
                <w:rFonts w:hint="eastAsia" w:hAnsi="宋体"/>
                <w:b/>
                <w:sz w:val="24"/>
                <w:szCs w:val="24"/>
              </w:rPr>
              <w:t>无</w:t>
            </w:r>
            <w:r>
              <w:rPr>
                <w:rFonts w:hAnsi="宋体"/>
                <w:b/>
                <w:sz w:val="24"/>
                <w:szCs w:val="24"/>
              </w:rPr>
              <w:t>正当理由</w:t>
            </w:r>
            <w:r>
              <w:rPr>
                <w:rFonts w:hint="eastAsia" w:hAnsi="宋体"/>
                <w:b/>
                <w:sz w:val="24"/>
                <w:szCs w:val="24"/>
              </w:rPr>
              <w:t>拒签</w:t>
            </w:r>
            <w:r>
              <w:rPr>
                <w:rFonts w:hAnsi="宋体"/>
                <w:b/>
                <w:sz w:val="24"/>
                <w:szCs w:val="24"/>
              </w:rPr>
              <w:t>合同</w:t>
            </w:r>
            <w:r>
              <w:rPr>
                <w:rFonts w:hint="eastAsia" w:hAnsi="宋体"/>
                <w:b/>
                <w:sz w:val="24"/>
                <w:szCs w:val="24"/>
              </w:rPr>
              <w:t>、</w:t>
            </w:r>
            <w:r>
              <w:rPr>
                <w:rFonts w:hAnsi="宋体"/>
                <w:b/>
                <w:sz w:val="24"/>
                <w:szCs w:val="24"/>
              </w:rPr>
              <w:t>在签订合同时向招标</w:t>
            </w:r>
            <w:r>
              <w:rPr>
                <w:rFonts w:hint="eastAsia" w:hAnsi="宋体"/>
                <w:b/>
                <w:sz w:val="24"/>
                <w:szCs w:val="24"/>
              </w:rPr>
              <w:t>方</w:t>
            </w:r>
            <w:r>
              <w:rPr>
                <w:rFonts w:hAnsi="宋体"/>
                <w:b/>
                <w:sz w:val="24"/>
                <w:szCs w:val="24"/>
              </w:rPr>
              <w:t>提出</w:t>
            </w:r>
            <w:r>
              <w:rPr>
                <w:rFonts w:hint="eastAsia" w:hAnsi="宋体"/>
                <w:b/>
                <w:sz w:val="24"/>
                <w:szCs w:val="24"/>
              </w:rPr>
              <w:t>无理</w:t>
            </w:r>
            <w:r>
              <w:rPr>
                <w:rFonts w:hAnsi="宋体"/>
                <w:b/>
                <w:sz w:val="24"/>
                <w:szCs w:val="24"/>
              </w:rPr>
              <w:t>附加条件</w:t>
            </w:r>
            <w:r>
              <w:rPr>
                <w:rFonts w:hint="eastAsia" w:hAnsi="宋体"/>
                <w:b/>
                <w:sz w:val="24"/>
                <w:szCs w:val="24"/>
              </w:rPr>
              <w:t>的，</w:t>
            </w:r>
            <w:r>
              <w:rPr>
                <w:rFonts w:hAnsi="宋体"/>
                <w:b/>
                <w:sz w:val="24"/>
                <w:szCs w:val="24"/>
              </w:rPr>
              <w:t>投标保证金不予返还</w:t>
            </w:r>
            <w:r>
              <w:rPr>
                <w:rFonts w:hint="eastAsia" w:hAnsi="宋体"/>
                <w:b/>
                <w:sz w:val="24"/>
                <w:szCs w:val="24"/>
              </w:rPr>
              <w:t>，并取消该投标人的中标资格</w:t>
            </w:r>
            <w:r>
              <w:rPr>
                <w:rFonts w:hAnsi="宋体"/>
                <w:b/>
                <w:sz w:val="24"/>
                <w:szCs w:val="24"/>
              </w:rPr>
              <w:t>，</w:t>
            </w:r>
            <w:r>
              <w:rPr>
                <w:rFonts w:hint="eastAsia" w:hAnsi="宋体"/>
                <w:b/>
                <w:sz w:val="24"/>
                <w:szCs w:val="24"/>
              </w:rPr>
              <w:t>该投标人2</w:t>
            </w:r>
            <w:r>
              <w:rPr>
                <w:rFonts w:hAnsi="宋体"/>
                <w:b/>
                <w:sz w:val="24"/>
                <w:szCs w:val="24"/>
              </w:rPr>
              <w:t>年</w:t>
            </w:r>
            <w:r>
              <w:rPr>
                <w:rFonts w:hint="eastAsia" w:hAnsi="宋体"/>
                <w:b/>
                <w:sz w:val="24"/>
                <w:szCs w:val="24"/>
              </w:rPr>
              <w:t>内不得参与招标方类似服务的招投标项目。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sz w:val="24"/>
                <w:szCs w:val="24"/>
              </w:rPr>
            </w:pPr>
            <w:r>
              <w:rPr>
                <w:rFonts w:hint="eastAsia" w:ascii="宋体" w:hAnsi="宋体" w:cs="宋体"/>
                <w:sz w:val="24"/>
              </w:rPr>
              <w:t>13</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523" w:firstLineChars="218"/>
              <w:rPr>
                <w:rFonts w:hint="eastAsia" w:ascii="宋体" w:hAnsi="宋体"/>
                <w:sz w:val="24"/>
                <w:szCs w:val="24"/>
              </w:rPr>
            </w:pPr>
            <w:r>
              <w:rPr>
                <w:rFonts w:hint="eastAsia" w:ascii="宋体" w:hAnsi="宋体" w:cs="宋体"/>
                <w:sz w:val="24"/>
              </w:rPr>
              <w:t>投标有效期：自开标之日起</w:t>
            </w:r>
            <w:r>
              <w:rPr>
                <w:rFonts w:hint="eastAsia" w:ascii="宋体" w:hAnsi="宋体" w:cs="宋体"/>
                <w:sz w:val="24"/>
                <w:u w:val="single"/>
              </w:rPr>
              <w:t>90</w:t>
            </w:r>
            <w:r>
              <w:rPr>
                <w:rFonts w:hint="eastAsia" w:ascii="宋体" w:hAnsi="宋体" w:cs="宋体"/>
                <w:sz w:val="24"/>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ind w:firstLine="482"/>
              <w:jc w:val="center"/>
              <w:rPr>
                <w:rFonts w:hint="eastAsia" w:ascii="宋体" w:hAnsi="宋体"/>
                <w:b/>
                <w:bCs/>
                <w:sz w:val="24"/>
                <w:szCs w:val="24"/>
              </w:rPr>
            </w:pPr>
            <w:r>
              <w:rPr>
                <w:rFonts w:hint="eastAsia" w:ascii="宋体" w:hAnsi="宋体" w:cs="宋体"/>
                <w:b/>
                <w:bCs/>
                <w:sz w:val="24"/>
              </w:rPr>
              <w:t>投标文件的递交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64" w:hRule="atLeast"/>
          <w:jc w:val="center"/>
        </w:trPr>
        <w:tc>
          <w:tcPr>
            <w:tcW w:w="653"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sz w:val="24"/>
                <w:szCs w:val="24"/>
              </w:rPr>
            </w:pPr>
            <w:r>
              <w:rPr>
                <w:rFonts w:hint="eastAsia" w:ascii="宋体" w:hAnsi="宋体" w:cs="宋体"/>
                <w:sz w:val="24"/>
              </w:rPr>
              <w:t>14</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rPr>
                <w:rFonts w:hint="eastAsia" w:ascii="宋体" w:hAnsi="宋体"/>
                <w:sz w:val="24"/>
                <w:szCs w:val="24"/>
              </w:rPr>
            </w:pPr>
            <w:r>
              <w:rPr>
                <w:rFonts w:hint="eastAsia" w:ascii="宋体" w:hAnsi="宋体" w:cs="宋体"/>
                <w:sz w:val="24"/>
              </w:rPr>
              <w:t xml:space="preserve">               </w:t>
            </w:r>
          </w:p>
          <w:p>
            <w:pPr>
              <w:spacing w:line="360" w:lineRule="auto"/>
              <w:ind w:firstLine="523" w:firstLineChars="218"/>
              <w:rPr>
                <w:rFonts w:hint="eastAsia" w:ascii="宋体" w:hAnsi="宋体"/>
                <w:sz w:val="24"/>
                <w:szCs w:val="24"/>
              </w:rPr>
            </w:pPr>
            <w:r>
              <w:rPr>
                <w:rFonts w:hint="eastAsia" w:ascii="宋体" w:hAnsi="宋体" w:cs="宋体"/>
                <w:sz w:val="24"/>
              </w:rPr>
              <w:t>投标文件递交截止时间：</w:t>
            </w:r>
            <w:r>
              <w:rPr>
                <w:rFonts w:hint="eastAsia" w:ascii="宋体" w:hAnsi="宋体" w:cs="宋体"/>
                <w:sz w:val="24"/>
                <w:u w:val="single"/>
              </w:rPr>
              <w:t>2024</w:t>
            </w:r>
            <w:r>
              <w:rPr>
                <w:rFonts w:hint="eastAsia" w:ascii="宋体" w:hAnsi="宋体" w:cs="宋体"/>
                <w:sz w:val="24"/>
              </w:rPr>
              <w:t>年</w:t>
            </w:r>
            <w:r>
              <w:rPr>
                <w:rFonts w:hint="eastAsia" w:ascii="宋体" w:hAnsi="宋体"/>
                <w:bCs/>
                <w:sz w:val="24"/>
                <w:u w:val="single"/>
              </w:rPr>
              <w:t xml:space="preserve"> 11</w:t>
            </w:r>
            <w:r>
              <w:rPr>
                <w:rFonts w:hint="eastAsia" w:ascii="宋体" w:hAnsi="宋体" w:cs="宋体"/>
                <w:sz w:val="24"/>
              </w:rPr>
              <w:t>月</w:t>
            </w:r>
            <w:r>
              <w:rPr>
                <w:rFonts w:hint="eastAsia" w:ascii="宋体" w:hAnsi="宋体"/>
                <w:bCs/>
                <w:sz w:val="24"/>
                <w:u w:val="single"/>
              </w:rPr>
              <w:t xml:space="preserve"> 15 </w:t>
            </w:r>
            <w:r>
              <w:rPr>
                <w:rFonts w:hint="eastAsia" w:ascii="宋体" w:hAnsi="宋体" w:cs="宋体"/>
                <w:sz w:val="24"/>
              </w:rPr>
              <w:t>日上午8:50（北京时间）。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02" w:hRule="atLeast"/>
          <w:jc w:val="center"/>
        </w:trPr>
        <w:tc>
          <w:tcPr>
            <w:tcW w:w="653"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360" w:lineRule="auto"/>
              <w:jc w:val="center"/>
              <w:rPr>
                <w:rFonts w:hint="eastAsia" w:ascii="宋体" w:hAnsi="宋体"/>
                <w:sz w:val="24"/>
                <w:szCs w:val="24"/>
              </w:rPr>
            </w:pP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720" w:firstLineChars="300"/>
              <w:rPr>
                <w:rFonts w:hint="eastAsia" w:ascii="宋体" w:hAnsi="宋体" w:cs="宋体"/>
                <w:sz w:val="24"/>
              </w:rPr>
            </w:pPr>
            <w:r>
              <w:rPr>
                <w:rFonts w:hint="eastAsia" w:ascii="宋体" w:hAnsi="宋体" w:cs="宋体"/>
                <w:sz w:val="24"/>
              </w:rPr>
              <w:t>线下地点：中国重汽集团济南专用车有限公司营销中心会议室。</w:t>
            </w:r>
          </w:p>
          <w:p>
            <w:pPr>
              <w:pStyle w:val="2"/>
              <w:ind w:firstLine="480"/>
            </w:pPr>
            <w:r>
              <w:rPr>
                <w:rFonts w:hint="eastAsia" w:ascii="宋体" w:hAnsi="宋体" w:cs="宋体"/>
                <w:kern w:val="2"/>
                <w:sz w:val="24"/>
              </w:rPr>
              <w:t xml:space="preserve"> 注：投标人须自备电脑和U盘。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6"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ind w:firstLine="482"/>
              <w:jc w:val="center"/>
              <w:rPr>
                <w:rFonts w:hint="eastAsia" w:ascii="宋体" w:hAnsi="宋体"/>
                <w:b/>
                <w:bCs/>
                <w:sz w:val="24"/>
                <w:szCs w:val="24"/>
              </w:rPr>
            </w:pPr>
            <w:r>
              <w:rPr>
                <w:rFonts w:hint="eastAsia" w:ascii="宋体" w:hAnsi="宋体" w:cs="宋体"/>
                <w:b/>
                <w:bCs/>
                <w:sz w:val="24"/>
              </w:rPr>
              <w:t>开标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sz w:val="24"/>
                <w:szCs w:val="24"/>
              </w:rPr>
            </w:pPr>
            <w:r>
              <w:rPr>
                <w:rFonts w:hint="eastAsia" w:ascii="宋体" w:hAnsi="宋体" w:cs="宋体"/>
                <w:sz w:val="24"/>
              </w:rPr>
              <w:t>15</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523" w:firstLineChars="218"/>
              <w:rPr>
                <w:rFonts w:hint="eastAsia" w:ascii="宋体" w:hAnsi="宋体" w:cs="宋体"/>
                <w:sz w:val="24"/>
              </w:rPr>
            </w:pPr>
            <w:r>
              <w:rPr>
                <w:rFonts w:hint="eastAsia" w:ascii="宋体" w:hAnsi="宋体" w:cs="宋体"/>
                <w:sz w:val="24"/>
              </w:rPr>
              <w:t>开标时间：</w:t>
            </w:r>
            <w:r>
              <w:rPr>
                <w:rFonts w:hint="eastAsia" w:ascii="宋体" w:hAnsi="宋体" w:cs="宋体"/>
                <w:sz w:val="24"/>
                <w:u w:val="single"/>
              </w:rPr>
              <w:t>2024</w:t>
            </w:r>
            <w:r>
              <w:rPr>
                <w:rFonts w:hint="eastAsia" w:ascii="宋体" w:hAnsi="宋体" w:cs="宋体"/>
                <w:sz w:val="24"/>
              </w:rPr>
              <w:t>年</w:t>
            </w:r>
            <w:r>
              <w:rPr>
                <w:rFonts w:hint="eastAsia" w:ascii="宋体" w:hAnsi="宋体" w:cs="宋体"/>
                <w:sz w:val="24"/>
                <w:u w:val="single"/>
              </w:rPr>
              <w:t>11月15日 9</w:t>
            </w:r>
            <w:r>
              <w:rPr>
                <w:rFonts w:hint="eastAsia" w:ascii="宋体" w:hAnsi="宋体" w:cs="宋体"/>
                <w:sz w:val="24"/>
              </w:rPr>
              <w:t>点</w:t>
            </w:r>
            <w:r>
              <w:rPr>
                <w:rFonts w:hint="eastAsia" w:ascii="宋体" w:hAnsi="宋体" w:cs="宋体"/>
                <w:sz w:val="24"/>
                <w:u w:val="single"/>
              </w:rPr>
              <w:t>00</w:t>
            </w:r>
            <w:r>
              <w:rPr>
                <w:rFonts w:hint="eastAsia" w:ascii="宋体" w:hAnsi="宋体" w:cs="宋体"/>
                <w:sz w:val="24"/>
              </w:rPr>
              <w:t>分（北京时间）</w:t>
            </w:r>
          </w:p>
          <w:p>
            <w:pPr>
              <w:spacing w:line="360" w:lineRule="auto"/>
              <w:ind w:firstLine="523" w:firstLineChars="218"/>
              <w:rPr>
                <w:rFonts w:hint="eastAsia" w:ascii="宋体" w:hAnsi="宋体" w:cs="宋体"/>
                <w:sz w:val="24"/>
              </w:rPr>
            </w:pPr>
            <w:r>
              <w:rPr>
                <w:rFonts w:hint="eastAsia" w:ascii="宋体" w:hAnsi="宋体" w:cs="宋体"/>
                <w:sz w:val="24"/>
              </w:rPr>
              <w:t>开标地点：同投标文件递交地点。</w:t>
            </w:r>
          </w:p>
          <w:p>
            <w:pPr>
              <w:pStyle w:val="2"/>
            </w:pPr>
            <w:r>
              <w:rPr>
                <w:rFonts w:hint="eastAsia"/>
              </w:rPr>
              <w:t xml:space="preserve"> </w:t>
            </w:r>
            <w:r>
              <w:rPr>
                <w:rFonts w:hint="eastAsia" w:ascii="宋体" w:hAnsi="宋体" w:cs="宋体"/>
                <w:kern w:val="2"/>
                <w:sz w:val="24"/>
              </w:rPr>
              <w:t>开标方式：线下商谈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sz w:val="24"/>
                <w:szCs w:val="24"/>
              </w:rPr>
            </w:pPr>
            <w:r>
              <w:rPr>
                <w:rFonts w:hint="eastAsia" w:ascii="宋体" w:hAnsi="宋体" w:cs="宋体"/>
                <w:sz w:val="24"/>
              </w:rPr>
              <w:t>16</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525" w:firstLineChars="218"/>
              <w:rPr>
                <w:rFonts w:hint="eastAsia" w:ascii="宋体" w:hAnsi="宋体" w:cs="宋体"/>
                <w:b/>
                <w:sz w:val="24"/>
                <w:szCs w:val="24"/>
              </w:rPr>
            </w:pPr>
            <w:r>
              <w:rPr>
                <w:rFonts w:hint="eastAsia" w:ascii="宋体" w:hAnsi="宋体" w:cs="宋体"/>
                <w:b/>
                <w:sz w:val="24"/>
              </w:rPr>
              <w:t>开标资格审查资料：</w:t>
            </w:r>
          </w:p>
          <w:p>
            <w:pPr>
              <w:spacing w:line="360" w:lineRule="auto"/>
              <w:ind w:firstLine="525" w:firstLineChars="218"/>
              <w:rPr>
                <w:rFonts w:hint="eastAsia" w:ascii="宋体" w:hAnsi="宋体" w:cs="宋体"/>
                <w:b/>
                <w:sz w:val="24"/>
              </w:rPr>
            </w:pPr>
            <w:r>
              <w:rPr>
                <w:rFonts w:hint="eastAsia" w:ascii="宋体" w:hAnsi="宋体" w:cs="宋体"/>
                <w:b/>
                <w:sz w:val="24"/>
              </w:rPr>
              <w:t>开标时将核验投标人的以下资格证件：</w:t>
            </w:r>
          </w:p>
          <w:p>
            <w:pPr>
              <w:tabs>
                <w:tab w:val="left" w:pos="6313"/>
              </w:tabs>
              <w:spacing w:line="360" w:lineRule="auto"/>
              <w:ind w:firstLine="480" w:firstLineChars="200"/>
              <w:rPr>
                <w:rFonts w:hint="eastAsia" w:ascii="宋体" w:hAnsi="宋体"/>
                <w:sz w:val="24"/>
              </w:rPr>
            </w:pPr>
            <w:r>
              <w:rPr>
                <w:rFonts w:hint="eastAsia" w:ascii="宋体" w:hAnsi="宋体"/>
                <w:sz w:val="24"/>
              </w:rPr>
              <w:t>①营业执照副本原件、复印件（加盖公章）；</w:t>
            </w:r>
          </w:p>
          <w:p>
            <w:pPr>
              <w:tabs>
                <w:tab w:val="left" w:pos="6313"/>
              </w:tabs>
              <w:spacing w:line="360" w:lineRule="auto"/>
              <w:ind w:firstLine="480" w:firstLineChars="200"/>
              <w:rPr>
                <w:rFonts w:hint="eastAsia" w:ascii="宋体" w:hAnsi="宋体"/>
                <w:sz w:val="24"/>
              </w:rPr>
            </w:pPr>
            <w:r>
              <w:rPr>
                <w:rFonts w:hint="eastAsia" w:ascii="宋体" w:hAnsi="宋体"/>
                <w:sz w:val="24"/>
              </w:rPr>
              <w:t>②法定代表人身份证或法定代表人授权委托书原件（加盖公章）；</w:t>
            </w:r>
          </w:p>
          <w:p>
            <w:pPr>
              <w:tabs>
                <w:tab w:val="left" w:pos="6313"/>
              </w:tabs>
              <w:spacing w:line="360" w:lineRule="auto"/>
              <w:ind w:firstLine="480" w:firstLineChars="200"/>
              <w:rPr>
                <w:rFonts w:hint="eastAsia" w:ascii="宋体" w:hAnsi="宋体"/>
                <w:sz w:val="24"/>
              </w:rPr>
            </w:pPr>
            <w:r>
              <w:rPr>
                <w:rFonts w:hint="eastAsia" w:ascii="宋体" w:hAnsi="宋体"/>
                <w:sz w:val="24"/>
              </w:rPr>
              <w:t>③法人或授权代表身份证（复印件+原件）；</w:t>
            </w:r>
          </w:p>
          <w:p>
            <w:pPr>
              <w:tabs>
                <w:tab w:val="left" w:pos="6313"/>
              </w:tabs>
              <w:spacing w:line="360" w:lineRule="auto"/>
              <w:ind w:firstLine="480" w:firstLineChars="200"/>
              <w:rPr>
                <w:rFonts w:hint="eastAsia" w:ascii="宋体" w:hAnsi="宋体"/>
                <w:sz w:val="24"/>
              </w:rPr>
            </w:pPr>
            <w:r>
              <w:rPr>
                <w:rFonts w:hint="eastAsia" w:ascii="宋体" w:hAnsi="宋体"/>
                <w:sz w:val="24"/>
              </w:rPr>
              <w:t>④信用中国截图（加盖公章）；</w:t>
            </w:r>
          </w:p>
          <w:p>
            <w:pPr>
              <w:tabs>
                <w:tab w:val="left" w:pos="6313"/>
              </w:tabs>
              <w:spacing w:line="360" w:lineRule="auto"/>
              <w:ind w:firstLine="480" w:firstLineChars="200"/>
              <w:rPr>
                <w:rFonts w:hint="eastAsia" w:ascii="宋体" w:hAnsi="宋体"/>
                <w:sz w:val="24"/>
              </w:rPr>
            </w:pPr>
            <w:r>
              <w:rPr>
                <w:rFonts w:hint="eastAsia" w:ascii="宋体" w:hAnsi="宋体"/>
                <w:sz w:val="24"/>
              </w:rPr>
              <w:t>⑤投标保证金回执截图（加盖公章）；</w:t>
            </w:r>
          </w:p>
          <w:p>
            <w:pPr>
              <w:tabs>
                <w:tab w:val="left" w:pos="6313"/>
              </w:tabs>
              <w:spacing w:line="360" w:lineRule="auto"/>
              <w:ind w:firstLine="480" w:firstLineChars="200"/>
              <w:rPr>
                <w:rFonts w:hint="eastAsia" w:ascii="宋体" w:hAnsi="宋体"/>
                <w:sz w:val="24"/>
              </w:rPr>
            </w:pPr>
            <w:r>
              <w:rPr>
                <w:rFonts w:hint="eastAsia" w:ascii="宋体" w:hAnsi="宋体"/>
                <w:sz w:val="24"/>
              </w:rPr>
              <w:t>⑥投标人自2021年1月1日起具有类似成功业绩（仓储物流行业相关合同原件或彩色打印件）；</w:t>
            </w:r>
          </w:p>
          <w:p>
            <w:pPr>
              <w:tabs>
                <w:tab w:val="left" w:pos="0"/>
              </w:tabs>
              <w:spacing w:line="360" w:lineRule="auto"/>
              <w:ind w:left="506" w:leftChars="241"/>
              <w:rPr>
                <w:rFonts w:hint="eastAsia" w:ascii="宋体" w:hAnsi="宋体"/>
                <w:sz w:val="24"/>
              </w:rPr>
            </w:pPr>
            <w:r>
              <w:rPr>
                <w:rFonts w:hint="eastAsia" w:ascii="宋体" w:hAnsi="宋体"/>
                <w:sz w:val="24"/>
              </w:rPr>
              <w:t>⑦近三年经会计师事务所审计且出具无保留意见的的财务审计报告原件，并加盖公章。</w:t>
            </w:r>
            <w:r>
              <w:rPr>
                <w:rFonts w:hint="eastAsia" w:ascii="宋体" w:hAnsi="宋体" w:cs="宋体"/>
                <w:color w:val="000000"/>
                <w:sz w:val="24"/>
                <w:szCs w:val="24"/>
              </w:rPr>
              <w:t>如投标人公司没有经审计的财务报告，可提供加盖公章的近三年财务报表（成立不足三年的上传成立以来的财务报表）。</w:t>
            </w:r>
          </w:p>
          <w:p>
            <w:pPr>
              <w:tabs>
                <w:tab w:val="left" w:pos="0"/>
              </w:tabs>
              <w:spacing w:line="360" w:lineRule="auto"/>
              <w:ind w:left="506" w:leftChars="241"/>
              <w:rPr>
                <w:rFonts w:hint="eastAsia" w:ascii="宋体" w:hAnsi="宋体"/>
                <w:sz w:val="24"/>
              </w:rPr>
            </w:pPr>
            <w:r>
              <w:rPr>
                <w:rFonts w:hint="eastAsia" w:ascii="宋体" w:hAnsi="宋体"/>
                <w:sz w:val="24"/>
              </w:rPr>
              <w:t>⑧投标人开户银行在开标日前三个月内开具的资信证明（如有）；</w:t>
            </w:r>
          </w:p>
          <w:p>
            <w:pPr>
              <w:tabs>
                <w:tab w:val="left" w:pos="0"/>
              </w:tabs>
              <w:spacing w:line="360" w:lineRule="auto"/>
              <w:ind w:left="506" w:leftChars="241"/>
              <w:rPr>
                <w:rFonts w:hint="eastAsia" w:ascii="宋体" w:hAnsi="宋体"/>
                <w:sz w:val="24"/>
              </w:rPr>
            </w:pPr>
            <w:r>
              <w:rPr>
                <w:rFonts w:hint="eastAsia" w:ascii="宋体" w:hAnsi="宋体"/>
                <w:sz w:val="24"/>
              </w:rPr>
              <w:t>⑨税务部门开具的依法缴纳税收的证明（如有）；</w:t>
            </w:r>
          </w:p>
          <w:p>
            <w:pPr>
              <w:tabs>
                <w:tab w:val="left" w:pos="0"/>
              </w:tabs>
              <w:spacing w:line="360" w:lineRule="auto"/>
              <w:ind w:left="506" w:leftChars="241"/>
              <w:rPr>
                <w:rFonts w:hint="eastAsia" w:ascii="宋体" w:hAnsi="宋体"/>
                <w:sz w:val="24"/>
              </w:rPr>
            </w:pPr>
            <w:r>
              <w:rPr>
                <w:rFonts w:hint="eastAsia" w:ascii="宋体" w:hAnsi="宋体"/>
                <w:sz w:val="24"/>
              </w:rPr>
              <w:t>⑩在以往的招投标活动中无违法、违规、违纪、违约行为的承诺；</w:t>
            </w:r>
          </w:p>
          <w:p>
            <w:pPr>
              <w:tabs>
                <w:tab w:val="left" w:pos="0"/>
              </w:tabs>
              <w:spacing w:line="360" w:lineRule="auto"/>
              <w:ind w:left="506" w:leftChars="241"/>
              <w:rPr>
                <w:rFonts w:hint="eastAsia" w:ascii="宋体" w:hAnsi="宋体"/>
                <w:sz w:val="24"/>
              </w:rPr>
            </w:pPr>
            <w:r>
              <w:rPr>
                <w:rFonts w:hint="eastAsia" w:ascii="宋体" w:hAnsi="宋体"/>
                <w:sz w:val="24"/>
              </w:rPr>
              <w:t>投标人认为对其投标有利的其他资料。</w:t>
            </w:r>
          </w:p>
          <w:p>
            <w:pPr>
              <w:spacing w:line="360" w:lineRule="auto"/>
              <w:ind w:firstLine="525" w:firstLineChars="218"/>
              <w:rPr>
                <w:rFonts w:hint="eastAsia" w:ascii="宋体" w:hAnsi="宋体" w:cs="宋体"/>
                <w:b/>
                <w:bCs/>
                <w:sz w:val="24"/>
                <w:szCs w:val="24"/>
              </w:rPr>
            </w:pPr>
            <w:r>
              <w:rPr>
                <w:rFonts w:hint="eastAsia" w:ascii="宋体" w:hAnsi="宋体" w:cs="宋体"/>
                <w:b/>
                <w:bCs/>
                <w:sz w:val="24"/>
              </w:rPr>
              <w:t>注：投标方资质文件不全的，招标人有权视情况要求补齐或者退出。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0"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ind w:firstLine="482"/>
              <w:jc w:val="center"/>
              <w:rPr>
                <w:rFonts w:hint="eastAsia" w:ascii="宋体" w:hAnsi="宋体"/>
                <w:sz w:val="24"/>
                <w:szCs w:val="24"/>
              </w:rPr>
            </w:pPr>
            <w:r>
              <w:rPr>
                <w:rFonts w:hint="eastAsia" w:ascii="宋体" w:hAnsi="宋体" w:cs="宋体"/>
                <w:b/>
                <w:bCs/>
                <w:sz w:val="24"/>
              </w:rPr>
              <w:t>评标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sz w:val="24"/>
                <w:szCs w:val="24"/>
              </w:rPr>
            </w:pPr>
            <w:r>
              <w:rPr>
                <w:rFonts w:hint="eastAsia" w:ascii="宋体" w:hAnsi="宋体" w:cs="宋体"/>
                <w:sz w:val="24"/>
              </w:rPr>
              <w:t>17</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523" w:firstLineChars="218"/>
              <w:rPr>
                <w:rFonts w:hint="eastAsia" w:ascii="宋体" w:hAnsi="宋体" w:cs="宋体"/>
                <w:sz w:val="24"/>
                <w:szCs w:val="24"/>
              </w:rPr>
            </w:pPr>
            <w:r>
              <w:rPr>
                <w:rFonts w:hint="eastAsia" w:ascii="宋体" w:hAnsi="宋体" w:cs="宋体"/>
                <w:sz w:val="24"/>
              </w:rPr>
              <w:t>评标委员会组成：招标人将根据本项目的特点组建评标委员会，分别由有关技术、经济等方面专家和招标人代表等三人或以上单数组成。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sz w:val="24"/>
                <w:szCs w:val="24"/>
              </w:rPr>
            </w:pPr>
            <w:r>
              <w:rPr>
                <w:rFonts w:hint="eastAsia" w:ascii="宋体" w:hAnsi="宋体" w:cs="宋体"/>
                <w:sz w:val="24"/>
              </w:rPr>
              <w:t>18</w:t>
            </w:r>
          </w:p>
        </w:tc>
        <w:tc>
          <w:tcPr>
            <w:tcW w:w="8305" w:type="dxa"/>
            <w:tcBorders>
              <w:top w:val="single" w:color="auto" w:sz="2" w:space="0"/>
              <w:left w:val="single" w:color="auto" w:sz="2" w:space="0"/>
              <w:bottom w:val="single" w:color="auto" w:sz="2" w:space="0"/>
              <w:right w:val="single" w:color="auto" w:sz="2" w:space="0"/>
            </w:tcBorders>
            <w:vAlign w:val="center"/>
          </w:tcPr>
          <w:p>
            <w:pPr>
              <w:pStyle w:val="25"/>
              <w:spacing w:after="0" w:line="360" w:lineRule="auto"/>
              <w:ind w:firstLine="480" w:firstLineChars="200"/>
              <w:rPr>
                <w:rFonts w:hint="eastAsia" w:ascii="宋体" w:hAnsi="宋体" w:cs="宋体"/>
                <w:kern w:val="2"/>
                <w:sz w:val="24"/>
              </w:rPr>
            </w:pPr>
            <w:r>
              <w:rPr>
                <w:rFonts w:ascii="宋体" w:hAnsi="宋体" w:cs="宋体"/>
                <w:sz w:val="24"/>
                <w:szCs w:val="24"/>
              </w:rPr>
              <w:t>本次评标采用资质审查、技术评标、商务评标三个阶段开标模式。</w:t>
            </w:r>
            <w:r>
              <w:rPr>
                <w:rFonts w:hint="eastAsia" w:ascii="宋体" w:hAnsi="宋体" w:cs="宋体"/>
                <w:kern w:val="2"/>
                <w:sz w:val="24"/>
              </w:rPr>
              <w:t>首先进行资质审查，符合资质的投标方进入技术评标，技术标评审由专家组对所有投标方的技术标部分综合评定和打分，采取多轮评标模式，最终根据合理最低价评标法确定中标方和备用方，对未中标人不做任何解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91"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rPr>
                <w:rFonts w:hint="eastAsia" w:ascii="宋体" w:hAnsi="宋体" w:cs="宋体"/>
                <w:sz w:val="24"/>
              </w:rPr>
            </w:pPr>
          </w:p>
        </w:tc>
      </w:tr>
    </w:tbl>
    <w:p>
      <w:pPr>
        <w:pStyle w:val="12"/>
        <w:tabs>
          <w:tab w:val="left" w:pos="1146"/>
        </w:tabs>
        <w:spacing w:line="360" w:lineRule="auto"/>
        <w:ind w:left="0" w:leftChars="0" w:firstLine="0" w:firstLineChars="0"/>
        <w:rPr>
          <w:rFonts w:hint="eastAsia" w:ascii="宋体" w:hAnsi="宋体" w:cs="宋体"/>
          <w:b/>
          <w:bCs/>
          <w:sz w:val="32"/>
          <w:szCs w:val="32"/>
        </w:rPr>
      </w:pPr>
    </w:p>
    <w:bookmarkEnd w:id="84"/>
    <w:p>
      <w:pPr>
        <w:pStyle w:val="292"/>
        <w:numPr>
          <w:ilvl w:val="0"/>
          <w:numId w:val="1"/>
        </w:numPr>
        <w:tabs>
          <w:tab w:val="right" w:leader="dot" w:pos="9061"/>
        </w:tabs>
        <w:spacing w:line="360" w:lineRule="auto"/>
        <w:ind w:firstLineChars="0"/>
        <w:jc w:val="center"/>
        <w:outlineLvl w:val="0"/>
        <w:rPr>
          <w:b/>
          <w:iCs/>
          <w:vanish/>
          <w:sz w:val="40"/>
          <w:szCs w:val="21"/>
        </w:rPr>
      </w:pPr>
      <w:bookmarkStart w:id="85" w:name="_Toc142573115"/>
      <w:bookmarkEnd w:id="85"/>
      <w:bookmarkStart w:id="86" w:name="_Toc129693890"/>
      <w:bookmarkEnd w:id="86"/>
      <w:bookmarkStart w:id="87" w:name="_Toc142573023"/>
      <w:bookmarkEnd w:id="87"/>
      <w:bookmarkStart w:id="88" w:name="_Toc142573648"/>
      <w:bookmarkEnd w:id="88"/>
      <w:bookmarkStart w:id="89" w:name="_Toc129697446"/>
      <w:bookmarkEnd w:id="89"/>
      <w:bookmarkStart w:id="90" w:name="_Toc142573484"/>
      <w:bookmarkEnd w:id="90"/>
      <w:bookmarkStart w:id="91" w:name="_Toc142572942"/>
      <w:bookmarkEnd w:id="91"/>
      <w:bookmarkStart w:id="92" w:name="_Toc142572977"/>
      <w:bookmarkEnd w:id="92"/>
    </w:p>
    <w:p>
      <w:pPr>
        <w:pStyle w:val="292"/>
        <w:keepNext/>
        <w:keepLines/>
        <w:numPr>
          <w:ilvl w:val="1"/>
          <w:numId w:val="1"/>
        </w:numPr>
        <w:spacing w:line="360" w:lineRule="auto"/>
        <w:ind w:left="0" w:firstLine="562"/>
        <w:jc w:val="left"/>
        <w:outlineLvl w:val="1"/>
        <w:rPr>
          <w:b/>
          <w:vanish/>
          <w:kern w:val="0"/>
          <w:sz w:val="28"/>
          <w:szCs w:val="36"/>
        </w:rPr>
      </w:pPr>
      <w:bookmarkStart w:id="93" w:name="_Toc129692790"/>
      <w:bookmarkEnd w:id="93"/>
      <w:bookmarkStart w:id="94" w:name="_Toc129692644"/>
      <w:bookmarkEnd w:id="94"/>
      <w:bookmarkStart w:id="95" w:name="_Toc129693891"/>
      <w:bookmarkEnd w:id="95"/>
      <w:bookmarkStart w:id="96" w:name="_Toc142573485"/>
      <w:bookmarkEnd w:id="96"/>
      <w:bookmarkStart w:id="97" w:name="_Toc142573116"/>
      <w:bookmarkEnd w:id="97"/>
      <w:bookmarkStart w:id="98" w:name="_Toc129695607"/>
      <w:bookmarkEnd w:id="98"/>
      <w:bookmarkStart w:id="99" w:name="_Toc142572978"/>
      <w:bookmarkEnd w:id="99"/>
      <w:bookmarkStart w:id="100" w:name="_Toc142573649"/>
      <w:bookmarkEnd w:id="100"/>
      <w:bookmarkStart w:id="101" w:name="_Toc129697447"/>
      <w:bookmarkEnd w:id="101"/>
      <w:bookmarkStart w:id="102" w:name="_Toc129692727"/>
      <w:bookmarkEnd w:id="102"/>
      <w:bookmarkStart w:id="103" w:name="_Toc129693375"/>
      <w:bookmarkEnd w:id="103"/>
      <w:bookmarkStart w:id="104" w:name="_Toc142573024"/>
      <w:bookmarkEnd w:id="104"/>
      <w:bookmarkStart w:id="105" w:name="_Toc142572943"/>
      <w:bookmarkEnd w:id="105"/>
    </w:p>
    <w:p>
      <w:pPr>
        <w:pStyle w:val="4"/>
      </w:pPr>
      <w:bookmarkStart w:id="106" w:name="_Toc14174"/>
      <w:bookmarkStart w:id="107" w:name="_Toc8010"/>
      <w:bookmarkStart w:id="108" w:name="_Toc31420"/>
      <w:r>
        <w:rPr>
          <w:rFonts w:hint="eastAsia"/>
        </w:rPr>
        <w:t>投标文件编写</w:t>
      </w:r>
      <w:bookmarkEnd w:id="106"/>
      <w:bookmarkEnd w:id="107"/>
      <w:bookmarkEnd w:id="108"/>
    </w:p>
    <w:p>
      <w:pPr>
        <w:pStyle w:val="5"/>
        <w:ind w:firstLine="480"/>
      </w:pPr>
      <w:bookmarkStart w:id="109" w:name="_Toc92678113"/>
      <w:bookmarkStart w:id="110" w:name="_Toc212369512"/>
      <w:r>
        <w:rPr>
          <w:rFonts w:hint="eastAsia"/>
        </w:rPr>
        <w:t>投标报价语言及计量单位</w:t>
      </w:r>
      <w:bookmarkEnd w:id="109"/>
      <w:bookmarkEnd w:id="110"/>
    </w:p>
    <w:p>
      <w:pPr>
        <w:tabs>
          <w:tab w:val="left" w:pos="6313"/>
        </w:tabs>
        <w:spacing w:line="360" w:lineRule="auto"/>
        <w:ind w:firstLine="480" w:firstLineChars="200"/>
        <w:rPr>
          <w:rFonts w:hint="eastAsia" w:ascii="宋体" w:hAnsi="宋体"/>
          <w:sz w:val="24"/>
        </w:rPr>
      </w:pPr>
      <w:r>
        <w:rPr>
          <w:rFonts w:ascii="宋体" w:hAnsi="宋体"/>
          <w:sz w:val="24"/>
        </w:rPr>
        <w:t>投标文件和与投标有关的所有文件均应使用</w:t>
      </w:r>
      <w:r>
        <w:rPr>
          <w:rFonts w:hint="eastAsia" w:ascii="宋体" w:hAnsi="宋体"/>
          <w:sz w:val="24"/>
        </w:rPr>
        <w:t>中文。</w:t>
      </w:r>
    </w:p>
    <w:p>
      <w:pPr>
        <w:tabs>
          <w:tab w:val="left" w:pos="6313"/>
        </w:tabs>
        <w:spacing w:line="360" w:lineRule="auto"/>
        <w:ind w:firstLine="480" w:firstLineChars="200"/>
        <w:rPr>
          <w:rFonts w:hint="eastAsia" w:ascii="宋体" w:hAnsi="宋体"/>
          <w:sz w:val="24"/>
        </w:rPr>
      </w:pPr>
      <w:r>
        <w:rPr>
          <w:rFonts w:hint="eastAsia" w:ascii="宋体" w:hAnsi="宋体"/>
          <w:sz w:val="24"/>
        </w:rPr>
        <w:t>除投标文件的技术规格中另有规定外，投标文件中所使用的计量单位应为中华人民共和国法定计量单位。</w:t>
      </w:r>
    </w:p>
    <w:p>
      <w:pPr>
        <w:pStyle w:val="5"/>
        <w:ind w:firstLine="480"/>
      </w:pPr>
      <w:bookmarkStart w:id="111" w:name="_Toc212369513"/>
      <w:bookmarkStart w:id="112" w:name="_Toc92678114"/>
      <w:r>
        <w:rPr>
          <w:rFonts w:hint="eastAsia"/>
        </w:rPr>
        <w:t>投标文件组成</w:t>
      </w:r>
      <w:bookmarkEnd w:id="111"/>
      <w:bookmarkEnd w:id="112"/>
    </w:p>
    <w:p>
      <w:pPr>
        <w:spacing w:line="360" w:lineRule="auto"/>
        <w:ind w:firstLine="482" w:firstLineChars="200"/>
        <w:rPr>
          <w:rFonts w:hint="eastAsia" w:ascii="宋体" w:hAnsi="宋体" w:cs="宋体"/>
          <w:b/>
          <w:bCs/>
          <w:sz w:val="24"/>
        </w:rPr>
      </w:pPr>
      <w:r>
        <w:rPr>
          <w:rFonts w:hint="eastAsia" w:ascii="宋体" w:hAnsi="宋体" w:cs="宋体"/>
          <w:b/>
          <w:bCs/>
          <w:sz w:val="24"/>
        </w:rPr>
        <w:t>投标人的投标文件由资格证明文件、技术标、商务标、开标一览表构成，如因投标文件混装、密封等问题造成的废标等后果均由投标方承担：</w:t>
      </w:r>
    </w:p>
    <w:p>
      <w:pPr>
        <w:pStyle w:val="5"/>
        <w:ind w:firstLine="480"/>
      </w:pPr>
      <w:bookmarkStart w:id="113" w:name="_Toc212369516"/>
      <w:r>
        <w:rPr>
          <w:rFonts w:hint="eastAsia"/>
        </w:rPr>
        <w:t>资格证明文件包括：</w:t>
      </w:r>
      <w:bookmarkEnd w:id="113"/>
    </w:p>
    <w:p>
      <w:pPr>
        <w:tabs>
          <w:tab w:val="left" w:pos="6313"/>
        </w:tabs>
        <w:spacing w:line="360" w:lineRule="auto"/>
        <w:ind w:firstLine="480" w:firstLineChars="200"/>
        <w:rPr>
          <w:rFonts w:hint="eastAsia" w:ascii="宋体" w:hAnsi="宋体"/>
          <w:sz w:val="24"/>
        </w:rPr>
      </w:pPr>
      <w:r>
        <w:rPr>
          <w:rFonts w:hint="eastAsia" w:ascii="宋体" w:hAnsi="宋体"/>
          <w:sz w:val="24"/>
        </w:rPr>
        <w:t>①营业执照副本原件、复印件（加盖公章）；</w:t>
      </w:r>
    </w:p>
    <w:p>
      <w:pPr>
        <w:tabs>
          <w:tab w:val="left" w:pos="6313"/>
        </w:tabs>
        <w:spacing w:line="360" w:lineRule="auto"/>
        <w:ind w:firstLine="480" w:firstLineChars="200"/>
        <w:rPr>
          <w:rFonts w:hint="eastAsia" w:ascii="宋体" w:hAnsi="宋体"/>
          <w:sz w:val="24"/>
        </w:rPr>
      </w:pPr>
      <w:r>
        <w:rPr>
          <w:rFonts w:hint="eastAsia" w:ascii="宋体" w:hAnsi="宋体"/>
          <w:sz w:val="24"/>
        </w:rPr>
        <w:t>②法定代表人身份证或法定代表人授权委托书原件（加盖公章）；</w:t>
      </w:r>
    </w:p>
    <w:p>
      <w:pPr>
        <w:tabs>
          <w:tab w:val="left" w:pos="6313"/>
        </w:tabs>
        <w:spacing w:line="360" w:lineRule="auto"/>
        <w:ind w:firstLine="480" w:firstLineChars="200"/>
        <w:rPr>
          <w:rFonts w:hint="eastAsia" w:ascii="宋体" w:hAnsi="宋体"/>
          <w:sz w:val="24"/>
        </w:rPr>
      </w:pPr>
      <w:r>
        <w:rPr>
          <w:rFonts w:hint="eastAsia" w:ascii="宋体" w:hAnsi="宋体"/>
          <w:sz w:val="24"/>
        </w:rPr>
        <w:t>③法人或授权代表身份证（复印件+原件）；</w:t>
      </w:r>
    </w:p>
    <w:p>
      <w:pPr>
        <w:tabs>
          <w:tab w:val="left" w:pos="6313"/>
        </w:tabs>
        <w:spacing w:line="360" w:lineRule="auto"/>
        <w:ind w:firstLine="480" w:firstLineChars="200"/>
        <w:rPr>
          <w:rFonts w:hint="eastAsia" w:ascii="宋体" w:hAnsi="宋体"/>
          <w:sz w:val="24"/>
        </w:rPr>
      </w:pPr>
      <w:r>
        <w:rPr>
          <w:rFonts w:hint="eastAsia" w:ascii="宋体" w:hAnsi="宋体"/>
          <w:sz w:val="24"/>
        </w:rPr>
        <w:t>④信用中国截图（加盖公章）；</w:t>
      </w:r>
    </w:p>
    <w:p>
      <w:pPr>
        <w:tabs>
          <w:tab w:val="left" w:pos="6313"/>
        </w:tabs>
        <w:spacing w:line="360" w:lineRule="auto"/>
        <w:ind w:firstLine="480" w:firstLineChars="200"/>
        <w:rPr>
          <w:rFonts w:hint="eastAsia" w:ascii="宋体" w:hAnsi="宋体"/>
          <w:sz w:val="24"/>
        </w:rPr>
      </w:pPr>
      <w:r>
        <w:rPr>
          <w:rFonts w:hint="eastAsia" w:ascii="宋体" w:hAnsi="宋体"/>
          <w:sz w:val="24"/>
        </w:rPr>
        <w:t>⑤投标保证金回执截图（加盖公章）；</w:t>
      </w:r>
    </w:p>
    <w:p>
      <w:pPr>
        <w:tabs>
          <w:tab w:val="left" w:pos="6313"/>
        </w:tabs>
        <w:spacing w:line="360" w:lineRule="auto"/>
        <w:ind w:firstLine="480" w:firstLineChars="200"/>
        <w:rPr>
          <w:rFonts w:hint="eastAsia" w:ascii="宋体" w:hAnsi="宋体"/>
          <w:sz w:val="24"/>
        </w:rPr>
      </w:pPr>
      <w:r>
        <w:rPr>
          <w:rFonts w:hint="eastAsia" w:ascii="宋体" w:hAnsi="宋体"/>
          <w:sz w:val="24"/>
        </w:rPr>
        <w:t>⑥投标人自2021年1月1日起具有类似成功业绩（仓储物流行业相关合同原件或彩色打印件）；</w:t>
      </w:r>
    </w:p>
    <w:p>
      <w:pPr>
        <w:tabs>
          <w:tab w:val="left" w:pos="0"/>
        </w:tabs>
        <w:spacing w:line="360" w:lineRule="auto"/>
        <w:ind w:left="506" w:leftChars="241"/>
        <w:rPr>
          <w:rFonts w:hint="eastAsia" w:ascii="宋体" w:hAnsi="宋体"/>
          <w:sz w:val="24"/>
        </w:rPr>
      </w:pPr>
      <w:r>
        <w:rPr>
          <w:rFonts w:hint="eastAsia" w:ascii="宋体" w:hAnsi="宋体"/>
          <w:sz w:val="24"/>
        </w:rPr>
        <w:t>⑦近三年经会计师事务所审计且出具无保留意见的的财务审计报告原件，并加盖公章。</w:t>
      </w:r>
    </w:p>
    <w:p>
      <w:pPr>
        <w:tabs>
          <w:tab w:val="left" w:pos="0"/>
        </w:tabs>
        <w:spacing w:line="360" w:lineRule="auto"/>
        <w:ind w:left="506" w:leftChars="241"/>
        <w:rPr>
          <w:rFonts w:hint="eastAsia" w:ascii="宋体" w:hAnsi="宋体"/>
          <w:sz w:val="24"/>
        </w:rPr>
      </w:pPr>
      <w:r>
        <w:rPr>
          <w:rFonts w:hint="eastAsia" w:ascii="宋体" w:hAnsi="宋体"/>
          <w:sz w:val="24"/>
        </w:rPr>
        <w:t>⑧投标人开户银行在开标日前三个月内开具的资信证明（如有）；</w:t>
      </w:r>
    </w:p>
    <w:p>
      <w:pPr>
        <w:tabs>
          <w:tab w:val="left" w:pos="0"/>
        </w:tabs>
        <w:spacing w:line="360" w:lineRule="auto"/>
        <w:ind w:left="506" w:leftChars="241"/>
        <w:rPr>
          <w:rFonts w:hint="eastAsia" w:ascii="宋体" w:hAnsi="宋体"/>
          <w:sz w:val="24"/>
        </w:rPr>
      </w:pPr>
      <w:r>
        <w:rPr>
          <w:rFonts w:hint="eastAsia" w:ascii="宋体" w:hAnsi="宋体"/>
          <w:sz w:val="24"/>
        </w:rPr>
        <w:t>⑨税务部门开具的依法缴纳税收的证明（如有）；</w:t>
      </w:r>
    </w:p>
    <w:p>
      <w:pPr>
        <w:tabs>
          <w:tab w:val="left" w:pos="0"/>
        </w:tabs>
        <w:spacing w:line="360" w:lineRule="auto"/>
        <w:ind w:left="506" w:leftChars="241"/>
        <w:rPr>
          <w:rFonts w:hint="eastAsia" w:ascii="宋体" w:hAnsi="宋体"/>
          <w:sz w:val="24"/>
        </w:rPr>
      </w:pPr>
      <w:r>
        <w:rPr>
          <w:rFonts w:hint="eastAsia" w:ascii="宋体" w:hAnsi="宋体"/>
          <w:sz w:val="24"/>
        </w:rPr>
        <w:t>⑩在以往的招投标活动中无违法、违规、违纪、违约行为的承诺；</w:t>
      </w:r>
    </w:p>
    <w:p>
      <w:pPr>
        <w:tabs>
          <w:tab w:val="left" w:pos="0"/>
        </w:tabs>
        <w:spacing w:line="360" w:lineRule="auto"/>
        <w:ind w:left="506" w:leftChars="241"/>
        <w:rPr>
          <w:rFonts w:hint="eastAsia" w:ascii="宋体" w:hAnsi="宋体"/>
          <w:sz w:val="24"/>
        </w:rPr>
      </w:pPr>
      <w:r>
        <w:rPr>
          <w:rFonts w:hint="eastAsia" w:ascii="宋体" w:hAnsi="宋体"/>
          <w:sz w:val="24"/>
        </w:rPr>
        <w:t>投标人认为对其投标有利的其他资料。</w:t>
      </w:r>
    </w:p>
    <w:p>
      <w:pPr>
        <w:spacing w:line="360" w:lineRule="auto"/>
        <w:ind w:firstLine="482" w:firstLineChars="200"/>
      </w:pPr>
      <w:r>
        <w:rPr>
          <w:rFonts w:hint="eastAsia" w:ascii="宋体" w:hAnsi="宋体" w:cs="宋体"/>
          <w:b/>
          <w:bCs/>
          <w:sz w:val="24"/>
        </w:rPr>
        <w:t>注：投标方资质文件不全的，招标人有权视情况要求补齐或者退出。</w:t>
      </w:r>
    </w:p>
    <w:p>
      <w:pPr>
        <w:pStyle w:val="5"/>
        <w:ind w:firstLine="480"/>
      </w:pPr>
      <w:bookmarkStart w:id="114" w:name="_Toc212369515"/>
      <w:r>
        <w:rPr>
          <w:rFonts w:hint="eastAsia"/>
        </w:rPr>
        <w:t>技术标部分：</w:t>
      </w:r>
      <w:bookmarkEnd w:id="114"/>
      <w:r>
        <w:rPr>
          <w:rFonts w:hint="eastAsia"/>
        </w:rPr>
        <w:t>（顺序与评分办法一致）</w:t>
      </w:r>
    </w:p>
    <w:p>
      <w:pPr>
        <w:spacing w:line="360" w:lineRule="auto"/>
        <w:ind w:firstLine="480" w:firstLineChars="200"/>
        <w:rPr>
          <w:rFonts w:hint="eastAsia" w:ascii="宋体" w:hAnsi="宋体"/>
          <w:sz w:val="24"/>
        </w:rPr>
      </w:pPr>
      <w:r>
        <w:rPr>
          <w:rFonts w:hint="eastAsia" w:ascii="宋体" w:hAnsi="宋体"/>
          <w:sz w:val="24"/>
        </w:rPr>
        <w:t>为提高评标效率，请投标人按照技术部分所列的资料清单内容及顺序编制技术部分投标文件，如投标人未按照以下内容及顺序编制招标文件技术部分，可能会影响技术部分得分，请各投标单位务必注意。</w:t>
      </w:r>
    </w:p>
    <w:p>
      <w:pPr>
        <w:pStyle w:val="5"/>
        <w:ind w:firstLine="480"/>
      </w:pPr>
      <w:bookmarkStart w:id="115" w:name="_Toc212369514"/>
      <w:r>
        <w:rPr>
          <w:rFonts w:hint="eastAsia"/>
        </w:rPr>
        <w:t>商务标部分：</w:t>
      </w:r>
      <w:bookmarkEnd w:id="115"/>
    </w:p>
    <w:p>
      <w:pPr>
        <w:numPr>
          <w:ilvl w:val="0"/>
          <w:numId w:val="10"/>
        </w:numPr>
        <w:spacing w:line="360" w:lineRule="auto"/>
        <w:ind w:firstLine="578" w:firstLineChars="241"/>
        <w:rPr>
          <w:rFonts w:hint="eastAsia" w:ascii="宋体" w:hAnsi="宋体"/>
          <w:sz w:val="24"/>
        </w:rPr>
      </w:pPr>
      <w:r>
        <w:rPr>
          <w:rFonts w:hint="eastAsia" w:ascii="宋体" w:hAnsi="宋体"/>
          <w:sz w:val="24"/>
        </w:rPr>
        <w:t>开标一览表（附件1）；</w:t>
      </w:r>
    </w:p>
    <w:p>
      <w:pPr>
        <w:numPr>
          <w:ilvl w:val="0"/>
          <w:numId w:val="10"/>
        </w:numPr>
        <w:spacing w:line="360" w:lineRule="auto"/>
        <w:ind w:firstLine="578" w:firstLineChars="241"/>
        <w:rPr>
          <w:rFonts w:hint="eastAsia" w:ascii="宋体" w:hAnsi="宋体"/>
          <w:sz w:val="24"/>
        </w:rPr>
      </w:pPr>
      <w:r>
        <w:rPr>
          <w:rFonts w:hint="eastAsia" w:ascii="宋体" w:hAnsi="宋体"/>
          <w:sz w:val="24"/>
        </w:rPr>
        <w:t>投标函（附件2）；</w:t>
      </w:r>
    </w:p>
    <w:p>
      <w:pPr>
        <w:numPr>
          <w:ilvl w:val="0"/>
          <w:numId w:val="10"/>
        </w:numPr>
        <w:spacing w:line="360" w:lineRule="auto"/>
        <w:ind w:firstLine="578" w:firstLineChars="241"/>
        <w:rPr>
          <w:rFonts w:hint="eastAsia" w:ascii="宋体" w:hAnsi="宋体"/>
          <w:sz w:val="24"/>
        </w:rPr>
      </w:pPr>
      <w:r>
        <w:rPr>
          <w:rFonts w:hint="eastAsia" w:ascii="宋体" w:hAnsi="宋体"/>
          <w:sz w:val="24"/>
        </w:rPr>
        <w:t>承诺书（附件3）；</w:t>
      </w:r>
    </w:p>
    <w:p>
      <w:pPr>
        <w:numPr>
          <w:ilvl w:val="0"/>
          <w:numId w:val="10"/>
        </w:numPr>
        <w:spacing w:line="360" w:lineRule="auto"/>
        <w:ind w:firstLine="578" w:firstLineChars="241"/>
        <w:rPr>
          <w:rFonts w:hint="eastAsia" w:ascii="宋体" w:hAnsi="宋体"/>
          <w:sz w:val="24"/>
        </w:rPr>
      </w:pPr>
      <w:r>
        <w:rPr>
          <w:rFonts w:hint="eastAsia" w:ascii="宋体" w:hAnsi="宋体"/>
          <w:sz w:val="24"/>
        </w:rPr>
        <w:t>授权委托书（附件4）；</w:t>
      </w:r>
    </w:p>
    <w:p>
      <w:pPr>
        <w:tabs>
          <w:tab w:val="left" w:pos="0"/>
        </w:tabs>
        <w:spacing w:line="360" w:lineRule="auto"/>
        <w:ind w:firstLine="480" w:firstLineChars="200"/>
        <w:rPr>
          <w:rFonts w:hint="eastAsia" w:ascii="宋体" w:hAnsi="宋体"/>
          <w:color w:val="000000"/>
          <w:sz w:val="24"/>
        </w:rPr>
      </w:pPr>
      <w:r>
        <w:rPr>
          <w:rFonts w:hint="eastAsia" w:ascii="宋体" w:hAnsi="宋体"/>
          <w:color w:val="000000"/>
          <w:sz w:val="24"/>
        </w:rPr>
        <w:t>开标一览表</w:t>
      </w:r>
      <w:r>
        <w:rPr>
          <w:rFonts w:hint="eastAsia" w:ascii="宋体" w:hAnsi="宋体"/>
          <w:b/>
          <w:bCs/>
          <w:color w:val="000000"/>
          <w:sz w:val="24"/>
        </w:rPr>
        <w:t>（提供纸质版材料同时须附开标一览表EXCEL电子版，格式严格按照excel版本附件1：开标一览表填写，不准删减或更改行列！！！开标现场录入供应商电子版报价信息。因招标明细过多，电子版作为报价的唯一依据，纸质版作为辅助。）</w:t>
      </w:r>
    </w:p>
    <w:p>
      <w:pPr>
        <w:spacing w:line="360" w:lineRule="auto"/>
        <w:ind w:left="571" w:firstLine="482"/>
        <w:rPr>
          <w:rFonts w:hint="eastAsia" w:ascii="宋体" w:hAnsi="宋体"/>
          <w:b/>
          <w:sz w:val="24"/>
          <w:u w:val="single"/>
        </w:rPr>
      </w:pPr>
      <w:r>
        <w:rPr>
          <w:rFonts w:hint="eastAsia" w:ascii="宋体" w:hAnsi="宋体"/>
          <w:b/>
          <w:sz w:val="24"/>
          <w:u w:val="single"/>
        </w:rPr>
        <w:t>注：招标文件给定格式的按给定的格式填写，未给定格式的，由投标人自行编制，但需包含以上内容。</w:t>
      </w:r>
    </w:p>
    <w:p>
      <w:pPr>
        <w:pStyle w:val="5"/>
        <w:ind w:firstLine="480"/>
      </w:pPr>
      <w:bookmarkStart w:id="116" w:name="_Toc212369518"/>
      <w:r>
        <w:rPr>
          <w:rFonts w:hint="eastAsia"/>
        </w:rPr>
        <w:t>投标内容填写说明</w:t>
      </w:r>
      <w:bookmarkEnd w:id="116"/>
    </w:p>
    <w:p>
      <w:pPr>
        <w:numPr>
          <w:ilvl w:val="0"/>
          <w:numId w:val="11"/>
        </w:numPr>
        <w:tabs>
          <w:tab w:val="left" w:pos="0"/>
        </w:tabs>
        <w:spacing w:line="360" w:lineRule="auto"/>
        <w:ind w:firstLine="480" w:firstLineChars="200"/>
        <w:rPr>
          <w:rFonts w:hint="eastAsia" w:ascii="宋体" w:hAnsi="宋体"/>
          <w:sz w:val="24"/>
        </w:rPr>
      </w:pPr>
      <w:r>
        <w:rPr>
          <w:rFonts w:hint="eastAsia" w:ascii="宋体" w:hAnsi="宋体"/>
          <w:sz w:val="24"/>
        </w:rPr>
        <w:t>投标文件按统一格式填写，装订成册。</w:t>
      </w:r>
    </w:p>
    <w:p>
      <w:pPr>
        <w:numPr>
          <w:ilvl w:val="0"/>
          <w:numId w:val="11"/>
        </w:numPr>
        <w:tabs>
          <w:tab w:val="left" w:pos="0"/>
        </w:tabs>
        <w:spacing w:line="360" w:lineRule="auto"/>
        <w:ind w:firstLine="480" w:firstLineChars="200"/>
        <w:rPr>
          <w:rFonts w:hint="eastAsia" w:ascii="宋体" w:hAnsi="宋体"/>
          <w:b/>
          <w:sz w:val="24"/>
        </w:rPr>
      </w:pPr>
      <w:r>
        <w:rPr>
          <w:rFonts w:hint="eastAsia" w:ascii="宋体" w:hAnsi="宋体"/>
          <w:sz w:val="24"/>
        </w:rPr>
        <w:t>开标一览表为在开标仪式上唱标的内容，要求按格式填写、统一规范，不得自行增减内容。</w:t>
      </w:r>
    </w:p>
    <w:p>
      <w:pPr>
        <w:pStyle w:val="2"/>
        <w:ind w:firstLine="480"/>
      </w:pPr>
      <w:r>
        <w:rPr>
          <w:rFonts w:hint="eastAsia" w:ascii="宋体" w:hAnsi="宋体"/>
          <w:sz w:val="24"/>
        </w:rPr>
        <w:t>（3）因采取线上开标+线下商谈，供应商自备电脑和U盘，便于上传文件进行报价。</w:t>
      </w:r>
    </w:p>
    <w:p>
      <w:pPr>
        <w:pStyle w:val="5"/>
        <w:ind w:firstLine="480"/>
      </w:pPr>
      <w:bookmarkStart w:id="117" w:name="_Toc212369519"/>
      <w:r>
        <w:rPr>
          <w:rFonts w:hint="eastAsia"/>
        </w:rPr>
        <w:t>投标报价</w:t>
      </w:r>
      <w:bookmarkEnd w:id="117"/>
    </w:p>
    <w:p>
      <w:pPr>
        <w:tabs>
          <w:tab w:val="left" w:pos="0"/>
        </w:tabs>
        <w:spacing w:line="360" w:lineRule="auto"/>
        <w:ind w:left="420" w:leftChars="200" w:firstLine="482" w:firstLineChars="200"/>
        <w:rPr>
          <w:rFonts w:hint="eastAsia" w:ascii="宋体" w:hAnsi="宋体"/>
          <w:sz w:val="24"/>
        </w:rPr>
      </w:pPr>
      <w:bookmarkStart w:id="118" w:name="_Toc352332865"/>
      <w:bookmarkStart w:id="119" w:name="_Toc346306744"/>
      <w:bookmarkStart w:id="120" w:name="_Toc346372891"/>
      <w:r>
        <w:rPr>
          <w:rFonts w:hint="eastAsia" w:ascii="宋体" w:hAnsi="宋体" w:cs="宋体"/>
          <w:b/>
          <w:bCs/>
          <w:color w:val="000000"/>
          <w:sz w:val="24"/>
          <w:szCs w:val="24"/>
        </w:rPr>
        <w:t>对存放场地按照每亩地年租金进行报价。</w:t>
      </w:r>
    </w:p>
    <w:p>
      <w:pPr>
        <w:pStyle w:val="5"/>
        <w:ind w:firstLine="480"/>
      </w:pPr>
      <w:r>
        <w:rPr>
          <w:rFonts w:hint="eastAsia"/>
        </w:rPr>
        <w:t>投标文件签署</w:t>
      </w:r>
      <w:bookmarkEnd w:id="118"/>
      <w:bookmarkEnd w:id="119"/>
      <w:bookmarkEnd w:id="120"/>
    </w:p>
    <w:p>
      <w:pPr>
        <w:numPr>
          <w:ilvl w:val="0"/>
          <w:numId w:val="12"/>
        </w:numPr>
        <w:tabs>
          <w:tab w:val="left" w:pos="0"/>
        </w:tabs>
        <w:spacing w:line="360" w:lineRule="auto"/>
        <w:ind w:firstLine="480" w:firstLineChars="200"/>
        <w:rPr>
          <w:rFonts w:hint="eastAsia" w:ascii="宋体" w:hAnsi="宋体" w:cs="宋体"/>
          <w:sz w:val="24"/>
          <w:szCs w:val="24"/>
        </w:rPr>
      </w:pPr>
      <w:r>
        <w:rPr>
          <w:rFonts w:hint="eastAsia" w:ascii="宋体" w:hAnsi="宋体" w:cs="宋体"/>
          <w:sz w:val="24"/>
          <w:szCs w:val="24"/>
        </w:rPr>
        <w:t>投标文件应加盖投标人单位公章（不得使用其他形式如带有“专用章”等字样的印章）并经法定代表人或其委托代理人签字，</w:t>
      </w:r>
      <w:r>
        <w:rPr>
          <w:rFonts w:hint="eastAsia" w:ascii="宋体" w:hAnsi="宋体" w:cs="宋体"/>
          <w:b/>
          <w:bCs/>
          <w:sz w:val="24"/>
          <w:szCs w:val="24"/>
        </w:rPr>
        <w:t>签字须使用黑色或蓝色不可褪色签字笔，由投标单位法人或委托代理人亲自签署</w:t>
      </w:r>
      <w:r>
        <w:rPr>
          <w:rFonts w:hint="eastAsia" w:ascii="宋体" w:hAnsi="宋体" w:cs="宋体"/>
          <w:sz w:val="24"/>
          <w:szCs w:val="24"/>
        </w:rPr>
        <w:t>，由委托代理人签字的投标文件中须附授权委托书。投标人代表必须按招标文件的规定签署投标文件（正本、副本及各附件）。</w:t>
      </w:r>
      <w:r>
        <w:rPr>
          <w:rFonts w:hint="eastAsia" w:ascii="宋体" w:hAnsi="宋体" w:cs="宋体"/>
          <w:bCs/>
          <w:sz w:val="24"/>
          <w:szCs w:val="24"/>
        </w:rPr>
        <w:t>否则，其投标文件按无效投标处理</w:t>
      </w:r>
      <w:r>
        <w:rPr>
          <w:rFonts w:hint="eastAsia" w:ascii="宋体" w:hAnsi="宋体" w:cs="宋体"/>
          <w:sz w:val="24"/>
          <w:szCs w:val="24"/>
        </w:rPr>
        <w:t>。</w:t>
      </w:r>
    </w:p>
    <w:p>
      <w:pPr>
        <w:numPr>
          <w:ilvl w:val="0"/>
          <w:numId w:val="12"/>
        </w:numPr>
        <w:tabs>
          <w:tab w:val="left" w:pos="0"/>
        </w:tabs>
        <w:spacing w:line="360" w:lineRule="auto"/>
        <w:ind w:firstLine="480" w:firstLineChars="200"/>
        <w:rPr>
          <w:rFonts w:hint="eastAsia" w:ascii="宋体" w:hAnsi="宋体" w:cs="宋体"/>
          <w:sz w:val="24"/>
          <w:szCs w:val="24"/>
        </w:rPr>
      </w:pPr>
      <w:r>
        <w:rPr>
          <w:rFonts w:hint="eastAsia" w:ascii="宋体" w:hAnsi="宋体" w:cs="宋体"/>
          <w:sz w:val="24"/>
          <w:szCs w:val="24"/>
        </w:rPr>
        <w:t>本招标文件提供的投标文件格式中，标注有盖公章、签字之处，应有投标人的盖章、委托代理人的签字或法定代表人的签字或盖章。</w:t>
      </w:r>
    </w:p>
    <w:p>
      <w:pPr>
        <w:pStyle w:val="5"/>
        <w:ind w:firstLine="480"/>
      </w:pPr>
      <w:bookmarkStart w:id="121" w:name="_Toc346306745"/>
      <w:bookmarkStart w:id="122" w:name="_Toc352332866"/>
      <w:bookmarkStart w:id="123" w:name="_Toc346372892"/>
      <w:r>
        <w:rPr>
          <w:rFonts w:hint="eastAsia"/>
        </w:rPr>
        <w:t>投标文件密封和标记</w:t>
      </w:r>
      <w:bookmarkEnd w:id="121"/>
      <w:bookmarkEnd w:id="122"/>
      <w:bookmarkEnd w:id="123"/>
    </w:p>
    <w:p>
      <w:pPr>
        <w:numPr>
          <w:ilvl w:val="0"/>
          <w:numId w:val="13"/>
        </w:numPr>
        <w:tabs>
          <w:tab w:val="left" w:pos="0"/>
        </w:tabs>
        <w:spacing w:line="360" w:lineRule="auto"/>
        <w:ind w:firstLine="480" w:firstLineChars="200"/>
        <w:rPr>
          <w:rFonts w:hint="eastAsia" w:ascii="宋体" w:hAnsi="宋体"/>
          <w:sz w:val="24"/>
          <w:szCs w:val="24"/>
        </w:rPr>
      </w:pPr>
      <w:r>
        <w:rPr>
          <w:rFonts w:hint="eastAsia" w:ascii="宋体" w:hAnsi="宋体" w:cs="宋体"/>
          <w:sz w:val="24"/>
          <w:szCs w:val="24"/>
        </w:rPr>
        <w:t>投标人应准备的投标文件份数见投标人须知前附表第9项，投标人应在每一份投标文件上注明“正本”或“副本”字样。</w:t>
      </w:r>
    </w:p>
    <w:p>
      <w:pPr>
        <w:numPr>
          <w:ilvl w:val="0"/>
          <w:numId w:val="13"/>
        </w:numPr>
        <w:tabs>
          <w:tab w:val="left" w:pos="0"/>
        </w:tabs>
        <w:spacing w:line="360" w:lineRule="auto"/>
        <w:ind w:firstLine="480" w:firstLineChars="200"/>
        <w:rPr>
          <w:rFonts w:hint="eastAsia" w:ascii="宋体" w:hAnsi="宋体"/>
          <w:sz w:val="24"/>
          <w:szCs w:val="24"/>
        </w:rPr>
      </w:pPr>
      <w:r>
        <w:rPr>
          <w:rFonts w:hint="eastAsia" w:ascii="宋体" w:hAnsi="宋体" w:cs="宋体"/>
          <w:sz w:val="24"/>
          <w:szCs w:val="24"/>
        </w:rPr>
        <w:t>投标文件的密封和标记详见投标人须知前附表第10项。</w:t>
      </w:r>
    </w:p>
    <w:p>
      <w:pPr>
        <w:pStyle w:val="5"/>
        <w:ind w:firstLine="480"/>
      </w:pPr>
      <w:bookmarkStart w:id="124" w:name="_Toc346372888"/>
      <w:bookmarkStart w:id="125" w:name="_Toc352332862"/>
      <w:bookmarkStart w:id="126" w:name="_Toc346306741"/>
      <w:bookmarkStart w:id="127" w:name="_Toc352332867"/>
      <w:bookmarkStart w:id="128" w:name="_Toc346372893"/>
      <w:bookmarkStart w:id="129" w:name="_Toc346306746"/>
      <w:r>
        <w:rPr>
          <w:rFonts w:hint="eastAsia"/>
        </w:rPr>
        <w:t>投标文件装订</w:t>
      </w:r>
      <w:bookmarkEnd w:id="124"/>
      <w:bookmarkEnd w:id="125"/>
      <w:bookmarkEnd w:id="126"/>
    </w:p>
    <w:p>
      <w:pPr>
        <w:pStyle w:val="30"/>
        <w:spacing w:after="0" w:line="360" w:lineRule="auto"/>
        <w:ind w:firstLine="600" w:firstLineChars="250"/>
        <w:rPr>
          <w:rFonts w:hint="eastAsia" w:ascii="宋体" w:hAnsi="宋体"/>
          <w:sz w:val="24"/>
          <w:szCs w:val="24"/>
        </w:rPr>
      </w:pPr>
      <w:r>
        <w:rPr>
          <w:rFonts w:hint="eastAsia" w:ascii="宋体" w:hAnsi="宋体" w:cs="宋体"/>
          <w:sz w:val="24"/>
          <w:szCs w:val="24"/>
        </w:rPr>
        <w:t>详见投标人须知前附表第11项。</w:t>
      </w:r>
    </w:p>
    <w:p>
      <w:pPr>
        <w:pStyle w:val="5"/>
        <w:ind w:firstLine="480"/>
      </w:pPr>
      <w:r>
        <w:rPr>
          <w:rFonts w:hint="eastAsia"/>
        </w:rPr>
        <w:t>投标保证金</w:t>
      </w:r>
      <w:bookmarkEnd w:id="127"/>
      <w:bookmarkEnd w:id="128"/>
      <w:bookmarkEnd w:id="129"/>
    </w:p>
    <w:p>
      <w:pPr>
        <w:numPr>
          <w:ilvl w:val="0"/>
          <w:numId w:val="14"/>
        </w:numPr>
        <w:tabs>
          <w:tab w:val="left" w:pos="0"/>
        </w:tabs>
        <w:spacing w:line="360" w:lineRule="auto"/>
        <w:ind w:firstLine="480" w:firstLineChars="200"/>
        <w:rPr>
          <w:rFonts w:hint="eastAsia" w:ascii="宋体" w:hAnsi="宋体" w:cs="宋体"/>
          <w:sz w:val="24"/>
          <w:szCs w:val="24"/>
        </w:rPr>
      </w:pPr>
      <w:r>
        <w:rPr>
          <w:rFonts w:hint="eastAsia" w:ascii="宋体" w:hAnsi="宋体" w:cs="宋体"/>
          <w:sz w:val="24"/>
          <w:szCs w:val="24"/>
        </w:rPr>
        <w:t>投标人应按前附表第12项的规定提交投标保证金，作为其投标文件的一部分。未按本招标文件规定提交投标保证金的，按无效投标处理。</w:t>
      </w:r>
    </w:p>
    <w:p>
      <w:pPr>
        <w:numPr>
          <w:ilvl w:val="0"/>
          <w:numId w:val="14"/>
        </w:numPr>
        <w:tabs>
          <w:tab w:val="left" w:pos="0"/>
        </w:tabs>
        <w:spacing w:line="360" w:lineRule="auto"/>
        <w:ind w:firstLine="480" w:firstLineChars="200"/>
        <w:rPr>
          <w:rFonts w:hint="eastAsia" w:ascii="宋体" w:hAnsi="宋体" w:cs="宋体"/>
          <w:sz w:val="24"/>
          <w:szCs w:val="24"/>
        </w:rPr>
      </w:pPr>
      <w:r>
        <w:rPr>
          <w:rFonts w:hint="eastAsia" w:ascii="宋体" w:hAnsi="宋体" w:cs="宋体"/>
          <w:sz w:val="24"/>
          <w:szCs w:val="24"/>
        </w:rPr>
        <w:t>如投标人有下列情况，投标保证金不予退还，招标人有权依法向其提出索赔，投标人应当赔偿因此给招标人造成的全部损失：</w:t>
      </w:r>
    </w:p>
    <w:p>
      <w:pPr>
        <w:pStyle w:val="30"/>
        <w:numPr>
          <w:ilvl w:val="0"/>
          <w:numId w:val="15"/>
        </w:numPr>
        <w:spacing w:after="0" w:line="360" w:lineRule="auto"/>
        <w:ind w:firstLine="480"/>
        <w:rPr>
          <w:rFonts w:hint="eastAsia" w:ascii="宋体" w:hAnsi="宋体"/>
          <w:sz w:val="24"/>
          <w:szCs w:val="24"/>
        </w:rPr>
      </w:pPr>
      <w:r>
        <w:rPr>
          <w:rFonts w:hint="eastAsia" w:ascii="宋体" w:hAnsi="宋体" w:cs="宋体"/>
          <w:sz w:val="24"/>
          <w:szCs w:val="24"/>
        </w:rPr>
        <w:t>开标后，投标人在投标有效期内撤回谈判的；</w:t>
      </w:r>
    </w:p>
    <w:p>
      <w:pPr>
        <w:pStyle w:val="30"/>
        <w:numPr>
          <w:ilvl w:val="0"/>
          <w:numId w:val="15"/>
        </w:numPr>
        <w:spacing w:after="0" w:line="360" w:lineRule="auto"/>
        <w:ind w:firstLine="480"/>
        <w:rPr>
          <w:rFonts w:hint="eastAsia" w:ascii="宋体" w:hAnsi="宋体"/>
          <w:sz w:val="24"/>
          <w:szCs w:val="24"/>
        </w:rPr>
      </w:pPr>
      <w:r>
        <w:rPr>
          <w:rFonts w:hint="eastAsia" w:ascii="宋体" w:hAnsi="宋体" w:cs="宋体"/>
          <w:sz w:val="24"/>
          <w:szCs w:val="24"/>
        </w:rPr>
        <w:t>采取不正当手段诋毁、排挤其他投标人的；</w:t>
      </w:r>
    </w:p>
    <w:p>
      <w:pPr>
        <w:pStyle w:val="30"/>
        <w:numPr>
          <w:ilvl w:val="0"/>
          <w:numId w:val="15"/>
        </w:numPr>
        <w:spacing w:after="0" w:line="360" w:lineRule="auto"/>
        <w:ind w:firstLine="480"/>
        <w:rPr>
          <w:rFonts w:hint="eastAsia" w:ascii="宋体" w:hAnsi="宋体"/>
          <w:sz w:val="24"/>
          <w:szCs w:val="24"/>
        </w:rPr>
      </w:pPr>
      <w:r>
        <w:rPr>
          <w:rFonts w:hint="eastAsia" w:ascii="宋体" w:hAnsi="宋体" w:cs="宋体"/>
          <w:sz w:val="24"/>
          <w:szCs w:val="24"/>
        </w:rPr>
        <w:t>与其他投标人或者招标人恶意串通的；</w:t>
      </w:r>
    </w:p>
    <w:p>
      <w:pPr>
        <w:pStyle w:val="30"/>
        <w:numPr>
          <w:ilvl w:val="0"/>
          <w:numId w:val="15"/>
        </w:numPr>
        <w:spacing w:after="0" w:line="360" w:lineRule="auto"/>
        <w:ind w:firstLine="480"/>
        <w:rPr>
          <w:rFonts w:hint="eastAsia" w:ascii="宋体" w:hAnsi="宋体"/>
          <w:sz w:val="24"/>
          <w:szCs w:val="24"/>
        </w:rPr>
      </w:pPr>
      <w:r>
        <w:rPr>
          <w:rFonts w:hint="eastAsia" w:ascii="宋体" w:hAnsi="宋体" w:cs="宋体"/>
          <w:sz w:val="24"/>
          <w:szCs w:val="24"/>
        </w:rPr>
        <w:t>向招标人行贿或者提供其他不正当利益的；</w:t>
      </w:r>
    </w:p>
    <w:p>
      <w:pPr>
        <w:pStyle w:val="30"/>
        <w:numPr>
          <w:ilvl w:val="0"/>
          <w:numId w:val="15"/>
        </w:numPr>
        <w:spacing w:after="0" w:line="360" w:lineRule="auto"/>
        <w:ind w:firstLine="480"/>
        <w:rPr>
          <w:rFonts w:hint="eastAsia" w:ascii="宋体" w:hAnsi="宋体"/>
          <w:sz w:val="24"/>
          <w:szCs w:val="24"/>
        </w:rPr>
      </w:pPr>
      <w:r>
        <w:rPr>
          <w:rFonts w:hint="eastAsia" w:ascii="宋体" w:hAnsi="宋体" w:cs="宋体"/>
          <w:sz w:val="24"/>
          <w:szCs w:val="24"/>
        </w:rPr>
        <w:t>投标人在投标文件中提供虚假材料的；</w:t>
      </w:r>
    </w:p>
    <w:p>
      <w:pPr>
        <w:pStyle w:val="30"/>
        <w:numPr>
          <w:ilvl w:val="0"/>
          <w:numId w:val="15"/>
        </w:numPr>
        <w:spacing w:after="0" w:line="360" w:lineRule="auto"/>
        <w:ind w:firstLine="480"/>
        <w:rPr>
          <w:rFonts w:hint="eastAsia" w:ascii="宋体" w:hAnsi="宋体"/>
          <w:sz w:val="24"/>
          <w:szCs w:val="24"/>
        </w:rPr>
      </w:pPr>
      <w:r>
        <w:rPr>
          <w:rFonts w:hint="eastAsia" w:ascii="宋体" w:hAnsi="宋体" w:cs="宋体"/>
          <w:sz w:val="24"/>
          <w:szCs w:val="24"/>
        </w:rPr>
        <w:t>中标人无正当理由未能按规定与招标人签订合同的；</w:t>
      </w:r>
    </w:p>
    <w:p>
      <w:pPr>
        <w:pStyle w:val="30"/>
        <w:numPr>
          <w:ilvl w:val="0"/>
          <w:numId w:val="15"/>
        </w:numPr>
        <w:spacing w:after="0" w:line="360" w:lineRule="auto"/>
        <w:ind w:firstLine="480"/>
        <w:rPr>
          <w:rFonts w:hint="eastAsia" w:ascii="宋体" w:hAnsi="宋体"/>
          <w:sz w:val="24"/>
          <w:szCs w:val="24"/>
        </w:rPr>
      </w:pPr>
      <w:r>
        <w:rPr>
          <w:rFonts w:hint="eastAsia" w:ascii="宋体" w:hAnsi="宋体" w:cs="宋体"/>
          <w:sz w:val="24"/>
          <w:szCs w:val="24"/>
        </w:rPr>
        <w:t>法律法规和招标文件规定的其他情形。</w:t>
      </w:r>
    </w:p>
    <w:p>
      <w:pPr>
        <w:numPr>
          <w:ilvl w:val="0"/>
          <w:numId w:val="14"/>
        </w:numPr>
        <w:tabs>
          <w:tab w:val="left" w:pos="0"/>
        </w:tabs>
        <w:spacing w:line="360" w:lineRule="auto"/>
        <w:ind w:firstLine="480" w:firstLineChars="200"/>
        <w:rPr>
          <w:rFonts w:hint="eastAsia" w:ascii="宋体" w:hAnsi="宋体"/>
          <w:sz w:val="24"/>
          <w:szCs w:val="24"/>
        </w:rPr>
      </w:pPr>
      <w:r>
        <w:rPr>
          <w:rFonts w:hint="eastAsia" w:ascii="宋体" w:hAnsi="宋体" w:cs="宋体"/>
          <w:sz w:val="24"/>
          <w:szCs w:val="24"/>
        </w:rPr>
        <w:t>保证金的退还：</w:t>
      </w:r>
    </w:p>
    <w:p>
      <w:pPr>
        <w:pStyle w:val="30"/>
        <w:numPr>
          <w:ilvl w:val="0"/>
          <w:numId w:val="16"/>
        </w:numPr>
        <w:spacing w:after="0" w:line="360" w:lineRule="auto"/>
        <w:ind w:firstLine="480"/>
        <w:rPr>
          <w:rFonts w:hint="eastAsia" w:ascii="宋体" w:hAnsi="宋体"/>
          <w:sz w:val="24"/>
          <w:szCs w:val="24"/>
        </w:rPr>
      </w:pPr>
      <w:r>
        <w:rPr>
          <w:rFonts w:hint="eastAsia" w:ascii="宋体" w:hAnsi="宋体" w:cs="宋体"/>
          <w:sz w:val="24"/>
          <w:szCs w:val="24"/>
        </w:rPr>
        <w:t>未中标人的保证金，在中标通知书发出后2个月内无息退还；</w:t>
      </w:r>
    </w:p>
    <w:p>
      <w:pPr>
        <w:pStyle w:val="30"/>
        <w:numPr>
          <w:ilvl w:val="0"/>
          <w:numId w:val="16"/>
        </w:numPr>
        <w:spacing w:after="0" w:line="360" w:lineRule="auto"/>
        <w:ind w:firstLine="480"/>
        <w:rPr>
          <w:rFonts w:hint="eastAsia" w:ascii="宋体" w:hAnsi="宋体"/>
          <w:sz w:val="24"/>
          <w:szCs w:val="24"/>
        </w:rPr>
      </w:pPr>
      <w:r>
        <w:rPr>
          <w:rFonts w:hint="eastAsia" w:ascii="宋体" w:hAnsi="宋体" w:cs="宋体"/>
          <w:sz w:val="24"/>
          <w:szCs w:val="24"/>
        </w:rPr>
        <w:t>中标人的保证金在签订合同</w:t>
      </w:r>
      <w:r>
        <w:rPr>
          <w:rFonts w:hint="eastAsia" w:ascii="宋体" w:hAnsi="宋体" w:cs="宋体"/>
          <w:color w:val="000000"/>
          <w:sz w:val="24"/>
          <w:szCs w:val="24"/>
        </w:rPr>
        <w:t>在采购合同签订后2个月内退还投标保证金或根据合同中的约定将投标保证金转为履约保证金。履约保证金在签订合同前必须缴纳，中标通知后10个工作日内未与招标方签订合同的视为违约，保证金不予退回</w:t>
      </w:r>
      <w:r>
        <w:rPr>
          <w:rFonts w:hint="eastAsia" w:ascii="宋体" w:hAnsi="宋体" w:cs="宋体"/>
          <w:sz w:val="24"/>
          <w:szCs w:val="24"/>
        </w:rPr>
        <w:t>。</w:t>
      </w:r>
    </w:p>
    <w:p>
      <w:pPr>
        <w:pStyle w:val="4"/>
      </w:pPr>
      <w:bookmarkStart w:id="130" w:name="_Toc31423"/>
      <w:bookmarkStart w:id="131" w:name="_Toc17263"/>
      <w:bookmarkStart w:id="132" w:name="_Toc31358"/>
      <w:r>
        <w:rPr>
          <w:rFonts w:hint="eastAsia"/>
        </w:rPr>
        <w:t>开标与评标</w:t>
      </w:r>
      <w:bookmarkEnd w:id="130"/>
      <w:bookmarkEnd w:id="131"/>
      <w:bookmarkEnd w:id="132"/>
    </w:p>
    <w:p>
      <w:pPr>
        <w:pStyle w:val="180"/>
        <w:spacing w:beforeLines="0" w:afterLines="0"/>
      </w:pPr>
      <w:bookmarkStart w:id="133" w:name="_Toc212369527"/>
      <w:bookmarkStart w:id="134" w:name="_Toc129697466"/>
      <w:r>
        <w:rPr>
          <w:rFonts w:hint="eastAsia"/>
        </w:rPr>
        <w:t>2.3.1开标</w:t>
      </w:r>
      <w:bookmarkEnd w:id="133"/>
      <w:bookmarkEnd w:id="134"/>
    </w:p>
    <w:p>
      <w:pPr>
        <w:pStyle w:val="180"/>
        <w:spacing w:beforeLines="0" w:afterLines="0"/>
      </w:pPr>
      <w:bookmarkStart w:id="135" w:name="_Toc129697467"/>
      <w:r>
        <w:rPr>
          <w:rFonts w:hint="eastAsia"/>
        </w:rPr>
        <w:t>本次招标的开标、评标由招标人依法组织实施。</w:t>
      </w:r>
      <w:bookmarkEnd w:id="135"/>
    </w:p>
    <w:p>
      <w:pPr>
        <w:pStyle w:val="180"/>
        <w:spacing w:beforeLines="0" w:afterLines="0"/>
      </w:pPr>
      <w:bookmarkStart w:id="136" w:name="_Toc24637"/>
      <w:bookmarkStart w:id="137" w:name="_Toc3413"/>
      <w:bookmarkStart w:id="138" w:name="_Toc129697468"/>
      <w:r>
        <w:rPr>
          <w:rFonts w:hint="eastAsia"/>
        </w:rPr>
        <w:t>2.3.2本项目开标时间和地点见投标人须知前附表。开标会议由招标人组织并主持。招标人邀请各投标人派员参加开标会议。投标人未参加开标的，视同认可开标结果。</w:t>
      </w:r>
      <w:bookmarkEnd w:id="136"/>
      <w:bookmarkEnd w:id="137"/>
      <w:bookmarkEnd w:id="138"/>
    </w:p>
    <w:p>
      <w:pPr>
        <w:pStyle w:val="180"/>
        <w:spacing w:beforeLines="0" w:afterLines="0"/>
      </w:pPr>
      <w:bookmarkStart w:id="139" w:name="_Toc129697469"/>
      <w:bookmarkStart w:id="140" w:name="_Toc15121"/>
      <w:bookmarkStart w:id="141" w:name="_Toc4395"/>
      <w:r>
        <w:rPr>
          <w:rFonts w:hint="eastAsia"/>
        </w:rPr>
        <w:t>2.3.3开标程序</w:t>
      </w:r>
      <w:bookmarkEnd w:id="139"/>
      <w:bookmarkEnd w:id="140"/>
      <w:bookmarkEnd w:id="141"/>
    </w:p>
    <w:p>
      <w:pPr>
        <w:pStyle w:val="180"/>
        <w:spacing w:beforeLines="0" w:afterLines="0"/>
      </w:pPr>
      <w:r>
        <w:rPr>
          <w:rFonts w:hint="eastAsia"/>
        </w:rPr>
        <w:t>（1）宣布开标会议开始并宣读开标纪律。</w:t>
      </w:r>
    </w:p>
    <w:p>
      <w:pPr>
        <w:pStyle w:val="180"/>
        <w:spacing w:beforeLines="0" w:afterLines="0"/>
      </w:pPr>
      <w:r>
        <w:rPr>
          <w:rFonts w:hint="eastAsia"/>
        </w:rPr>
        <w:t>（2）介绍与会人员。</w:t>
      </w:r>
    </w:p>
    <w:p>
      <w:pPr>
        <w:pStyle w:val="180"/>
        <w:spacing w:beforeLines="0" w:afterLines="0"/>
        <w:rPr>
          <w:rFonts w:hint="eastAsia" w:ascii="宋体" w:hAnsi="宋体"/>
          <w:color w:val="000000"/>
          <w:szCs w:val="24"/>
        </w:rPr>
      </w:pPr>
      <w:r>
        <w:rPr>
          <w:rFonts w:hint="eastAsia"/>
        </w:rPr>
        <w:t>（3）</w:t>
      </w:r>
      <w:r>
        <w:rPr>
          <w:rFonts w:hint="eastAsia" w:ascii="宋体" w:hAnsi="宋体"/>
          <w:color w:val="000000"/>
          <w:szCs w:val="24"/>
        </w:rPr>
        <w:t>核验投标人资格证件，内容详见投标人须知前附表。</w:t>
      </w:r>
    </w:p>
    <w:p>
      <w:pPr>
        <w:pStyle w:val="180"/>
        <w:spacing w:beforeLines="0" w:afterLines="0"/>
        <w:rPr>
          <w:rFonts w:hint="eastAsia" w:ascii="宋体" w:hAnsi="宋体"/>
          <w:color w:val="000000"/>
          <w:szCs w:val="24"/>
        </w:rPr>
      </w:pPr>
      <w:r>
        <w:rPr>
          <w:rFonts w:hint="eastAsia" w:ascii="宋体" w:hAnsi="宋体"/>
          <w:color w:val="000000"/>
          <w:szCs w:val="24"/>
        </w:rPr>
        <w:t>（4）投标人或投标人推选的代表对投标文件密封情况进行检查（投标人未参加开标会议的，视同认可投标文件密封完好）。</w:t>
      </w:r>
    </w:p>
    <w:p>
      <w:pPr>
        <w:pStyle w:val="180"/>
        <w:spacing w:beforeLines="0" w:afterLines="0"/>
      </w:pPr>
      <w:r>
        <w:rPr>
          <w:rFonts w:hint="eastAsia" w:ascii="宋体" w:hAnsi="宋体"/>
          <w:color w:val="000000"/>
          <w:szCs w:val="24"/>
        </w:rPr>
        <w:t>（5）由工作人员当众拆封技术标书，由评标专家组对所有投标方的技术标部分综合评定和打分，确定进入</w:t>
      </w:r>
      <w:r>
        <w:rPr>
          <w:rFonts w:hint="eastAsia"/>
        </w:rPr>
        <w:t>商务标评比资格的投标方。</w:t>
      </w:r>
    </w:p>
    <w:p>
      <w:pPr>
        <w:pStyle w:val="180"/>
        <w:spacing w:beforeLines="0" w:afterLines="0"/>
      </w:pPr>
      <w:r>
        <w:rPr>
          <w:rFonts w:hint="eastAsia"/>
        </w:rPr>
        <w:t>（6）进行商务标的评标，招标人有权根据项目情况，采取多轮评标模式，确定中标人。</w:t>
      </w:r>
    </w:p>
    <w:p>
      <w:pPr>
        <w:pStyle w:val="180"/>
        <w:spacing w:beforeLines="0" w:afterLines="0"/>
      </w:pPr>
      <w:bookmarkStart w:id="142" w:name="_Toc92678127"/>
      <w:bookmarkStart w:id="143" w:name="_Toc14869"/>
      <w:bookmarkStart w:id="144" w:name="_Toc14477"/>
      <w:bookmarkStart w:id="145" w:name="_Toc129697470"/>
      <w:r>
        <w:rPr>
          <w:rFonts w:hint="eastAsia"/>
        </w:rPr>
        <w:t>2.3.4评标委员会</w:t>
      </w:r>
      <w:bookmarkEnd w:id="142"/>
      <w:bookmarkEnd w:id="143"/>
      <w:bookmarkEnd w:id="144"/>
      <w:bookmarkEnd w:id="145"/>
    </w:p>
    <w:p>
      <w:pPr>
        <w:pStyle w:val="180"/>
        <w:spacing w:beforeLines="0" w:afterLines="0"/>
      </w:pPr>
      <w:r>
        <w:rPr>
          <w:rFonts w:hint="eastAsia"/>
        </w:rPr>
        <w:t>评标委员会的组成见投标人须知前附表，评标委员会负责对投标文件进行审查、质疑、评标，提出书面评标报告，并向招标人推荐中标候选人排序名单。</w:t>
      </w:r>
    </w:p>
    <w:p>
      <w:pPr>
        <w:pStyle w:val="180"/>
        <w:spacing w:beforeLines="0" w:afterLines="0"/>
      </w:pPr>
      <w:bookmarkStart w:id="146" w:name="_Toc129697471"/>
      <w:bookmarkStart w:id="147" w:name="_Toc92678128"/>
      <w:bookmarkStart w:id="148" w:name="_Toc12777"/>
      <w:bookmarkStart w:id="149" w:name="_Toc32715"/>
      <w:bookmarkStart w:id="150" w:name="_Toc212369528"/>
      <w:r>
        <w:rPr>
          <w:rFonts w:hint="eastAsia"/>
        </w:rPr>
        <w:t>2.3.5评标原则</w:t>
      </w:r>
      <w:bookmarkEnd w:id="146"/>
      <w:bookmarkEnd w:id="147"/>
      <w:bookmarkEnd w:id="148"/>
      <w:bookmarkEnd w:id="149"/>
      <w:bookmarkEnd w:id="150"/>
    </w:p>
    <w:p>
      <w:pPr>
        <w:spacing w:line="360" w:lineRule="auto"/>
        <w:ind w:firstLine="480" w:firstLineChars="200"/>
        <w:rPr>
          <w:rFonts w:hint="eastAsia" w:ascii="宋体" w:hAnsi="宋体"/>
          <w:sz w:val="24"/>
        </w:rPr>
      </w:pPr>
      <w:bookmarkStart w:id="151" w:name="_Toc212369529"/>
      <w:r>
        <w:rPr>
          <w:rFonts w:hint="eastAsia" w:ascii="宋体" w:hAnsi="宋体"/>
          <w:sz w:val="24"/>
        </w:rPr>
        <w:t>“公平、公正、科学、择优”为本次评标的基本原则，评标委员会按照这一原则的要求，公正、平等地对待各投标人。同时，在评标过程中恪守以下原则：</w:t>
      </w:r>
      <w:bookmarkEnd w:id="151"/>
    </w:p>
    <w:p>
      <w:pPr>
        <w:pStyle w:val="337"/>
        <w:numPr>
          <w:ilvl w:val="0"/>
          <w:numId w:val="17"/>
        </w:numPr>
        <w:ind w:left="0" w:firstLine="480"/>
        <w:rPr>
          <w:rFonts w:hint="eastAsia"/>
        </w:rPr>
      </w:pPr>
      <w:r>
        <w:rPr>
          <w:rFonts w:hint="eastAsia"/>
        </w:rPr>
        <w:t>客观性原则：评标委员会将严格按照招标文件要求的内容，对投标人的投标文件进行认真评审；评标委员会对投标文件的评审仅依据投标文件本身，而不依靠投标文件以外的任何因素；</w:t>
      </w:r>
    </w:p>
    <w:p>
      <w:pPr>
        <w:pStyle w:val="337"/>
        <w:numPr>
          <w:ilvl w:val="0"/>
          <w:numId w:val="17"/>
        </w:numPr>
        <w:ind w:left="0" w:firstLine="480"/>
        <w:rPr>
          <w:rFonts w:hint="eastAsia"/>
        </w:rPr>
      </w:pPr>
      <w:r>
        <w:rPr>
          <w:rFonts w:hint="eastAsia"/>
        </w:rPr>
        <w:t>统一性原则：评标委员会将按照统一的评标原则和评标办法，用同一标准进行评审。</w:t>
      </w:r>
    </w:p>
    <w:p>
      <w:pPr>
        <w:pStyle w:val="337"/>
        <w:numPr>
          <w:ilvl w:val="0"/>
          <w:numId w:val="17"/>
        </w:numPr>
        <w:ind w:left="0" w:firstLine="480"/>
        <w:rPr>
          <w:rFonts w:hint="eastAsia"/>
        </w:rPr>
      </w:pPr>
      <w:r>
        <w:rPr>
          <w:rFonts w:hint="eastAsia"/>
        </w:rPr>
        <w:t>独立性原则：评标工作在评标委员会内部独立进行，不受外界任何因素的干扰和影响。评标委员会成员对出具的评审意见承担个人责任。</w:t>
      </w:r>
    </w:p>
    <w:p>
      <w:pPr>
        <w:pStyle w:val="337"/>
        <w:numPr>
          <w:ilvl w:val="0"/>
          <w:numId w:val="17"/>
        </w:numPr>
        <w:ind w:left="0" w:firstLine="480"/>
        <w:rPr>
          <w:rFonts w:hint="eastAsia"/>
        </w:rPr>
      </w:pPr>
      <w:r>
        <w:rPr>
          <w:rFonts w:hint="eastAsia"/>
        </w:rPr>
        <w:t>保密性原则：招标人应当采取必要的措施，保证评标在严格保密的情况下进行。</w:t>
      </w:r>
    </w:p>
    <w:p>
      <w:pPr>
        <w:pStyle w:val="180"/>
        <w:spacing w:beforeLines="0" w:afterLines="0"/>
      </w:pPr>
      <w:bookmarkStart w:id="152" w:name="_Toc26360"/>
      <w:bookmarkStart w:id="153" w:name="_Toc129697472"/>
      <w:bookmarkStart w:id="154" w:name="_Toc7868"/>
      <w:r>
        <w:rPr>
          <w:rFonts w:hint="eastAsia"/>
        </w:rPr>
        <w:t>2.3.6出现下列情形之一，招标人有权否决所有投标人的投标，并终止招标</w:t>
      </w:r>
      <w:bookmarkEnd w:id="152"/>
      <w:bookmarkEnd w:id="153"/>
      <w:bookmarkEnd w:id="154"/>
    </w:p>
    <w:p>
      <w:pPr>
        <w:pStyle w:val="180"/>
        <w:spacing w:beforeLines="0" w:afterLines="0"/>
      </w:pPr>
      <w:r>
        <w:rPr>
          <w:rFonts w:hint="eastAsia"/>
        </w:rPr>
        <w:t>（1）符合条件的投标人或者对招标文件做实质响应的投标人不足三家的。</w:t>
      </w:r>
    </w:p>
    <w:p>
      <w:pPr>
        <w:pStyle w:val="180"/>
        <w:spacing w:beforeLines="0" w:afterLines="0"/>
      </w:pPr>
      <w:r>
        <w:rPr>
          <w:rFonts w:hint="eastAsia"/>
        </w:rPr>
        <w:t>（2）出现影响采购公正的违法、违规行为的；</w:t>
      </w:r>
    </w:p>
    <w:p>
      <w:pPr>
        <w:pStyle w:val="180"/>
        <w:spacing w:beforeLines="0" w:afterLines="0"/>
      </w:pPr>
      <w:r>
        <w:rPr>
          <w:rFonts w:hint="eastAsia"/>
        </w:rPr>
        <w:t>（3）因重大变故，采购任务取消的；</w:t>
      </w:r>
    </w:p>
    <w:p>
      <w:pPr>
        <w:pStyle w:val="180"/>
        <w:spacing w:beforeLines="0" w:afterLines="0"/>
      </w:pPr>
      <w:r>
        <w:rPr>
          <w:rFonts w:hint="eastAsia"/>
        </w:rPr>
        <w:t>（4）评标委员会经评审，认为所有投标都不符合招标文件要求的。</w:t>
      </w:r>
    </w:p>
    <w:p>
      <w:pPr>
        <w:pStyle w:val="180"/>
        <w:spacing w:beforeLines="0" w:afterLines="0"/>
      </w:pPr>
      <w:r>
        <w:rPr>
          <w:rFonts w:hint="eastAsia"/>
        </w:rPr>
        <w:t>（5）招标人认为其他应终止招标的情形。</w:t>
      </w:r>
    </w:p>
    <w:p>
      <w:pPr>
        <w:pStyle w:val="180"/>
        <w:spacing w:beforeLines="0" w:afterLines="0"/>
      </w:pPr>
      <w:bookmarkStart w:id="155" w:name="_Toc27893"/>
      <w:bookmarkStart w:id="156" w:name="_Toc129697473"/>
      <w:bookmarkStart w:id="157" w:name="_Toc5950"/>
      <w:r>
        <w:rPr>
          <w:rFonts w:hint="eastAsia"/>
        </w:rPr>
        <w:t>2.3.7投标人有下列情形之一，其投标将被视为废标，招标人将严格按照《中华人民共和国招标投标法》及相关法律、法规及规章制度的规定行使权利。投标人给招标人造成损失的，招标人有索赔的权利，投标人应予以赔偿。</w:t>
      </w:r>
      <w:bookmarkEnd w:id="155"/>
      <w:bookmarkEnd w:id="156"/>
      <w:bookmarkEnd w:id="157"/>
    </w:p>
    <w:p>
      <w:pPr>
        <w:spacing w:line="360" w:lineRule="auto"/>
        <w:ind w:firstLine="480" w:firstLineChars="200"/>
        <w:rPr>
          <w:kern w:val="0"/>
          <w:sz w:val="24"/>
          <w:szCs w:val="20"/>
        </w:rPr>
      </w:pPr>
      <w:r>
        <w:rPr>
          <w:rFonts w:hint="eastAsia"/>
          <w:kern w:val="0"/>
          <w:sz w:val="24"/>
          <w:szCs w:val="20"/>
        </w:rPr>
        <w:t>（1）投标人提供的有关资格、资质证明文件不合格、不真实或提供虚假投标材料；</w:t>
      </w:r>
    </w:p>
    <w:p>
      <w:pPr>
        <w:spacing w:line="360" w:lineRule="auto"/>
        <w:ind w:firstLine="480" w:firstLineChars="200"/>
        <w:rPr>
          <w:kern w:val="0"/>
          <w:sz w:val="24"/>
          <w:szCs w:val="20"/>
        </w:rPr>
      </w:pPr>
      <w:r>
        <w:rPr>
          <w:rFonts w:hint="eastAsia"/>
          <w:kern w:val="0"/>
          <w:sz w:val="24"/>
          <w:szCs w:val="20"/>
        </w:rPr>
        <w:t>（2）投标人在报价有效期内撤回投标；</w:t>
      </w:r>
    </w:p>
    <w:p>
      <w:pPr>
        <w:spacing w:line="360" w:lineRule="auto"/>
        <w:ind w:firstLine="480" w:firstLineChars="200"/>
        <w:rPr>
          <w:kern w:val="0"/>
          <w:sz w:val="24"/>
          <w:szCs w:val="20"/>
        </w:rPr>
      </w:pPr>
      <w:r>
        <w:rPr>
          <w:rFonts w:hint="eastAsia"/>
          <w:kern w:val="0"/>
          <w:sz w:val="24"/>
          <w:szCs w:val="20"/>
        </w:rPr>
        <w:t>（3）在整个评标过程中，投标人有企图影响评标结果公正性的任何活动；</w:t>
      </w:r>
    </w:p>
    <w:p>
      <w:pPr>
        <w:spacing w:line="360" w:lineRule="auto"/>
        <w:ind w:firstLine="480" w:firstLineChars="200"/>
        <w:rPr>
          <w:kern w:val="0"/>
          <w:sz w:val="24"/>
          <w:szCs w:val="20"/>
        </w:rPr>
      </w:pPr>
      <w:r>
        <w:rPr>
          <w:rFonts w:hint="eastAsia"/>
          <w:kern w:val="0"/>
          <w:sz w:val="24"/>
          <w:szCs w:val="20"/>
        </w:rPr>
        <w:t>（4）投标人以任何方式诋毁其他投标人；</w:t>
      </w:r>
    </w:p>
    <w:p>
      <w:pPr>
        <w:spacing w:line="360" w:lineRule="auto"/>
        <w:ind w:firstLine="480" w:firstLineChars="200"/>
        <w:rPr>
          <w:kern w:val="0"/>
          <w:sz w:val="24"/>
          <w:szCs w:val="20"/>
        </w:rPr>
      </w:pPr>
      <w:r>
        <w:rPr>
          <w:rFonts w:hint="eastAsia"/>
          <w:kern w:val="0"/>
          <w:sz w:val="24"/>
          <w:szCs w:val="20"/>
        </w:rPr>
        <w:t>（5）投标人串通投标；</w:t>
      </w:r>
    </w:p>
    <w:p>
      <w:pPr>
        <w:spacing w:line="360" w:lineRule="auto"/>
        <w:ind w:firstLine="480" w:firstLineChars="200"/>
        <w:rPr>
          <w:kern w:val="0"/>
          <w:sz w:val="24"/>
          <w:szCs w:val="20"/>
        </w:rPr>
      </w:pPr>
      <w:r>
        <w:rPr>
          <w:rFonts w:hint="eastAsia"/>
          <w:kern w:val="0"/>
          <w:sz w:val="24"/>
          <w:szCs w:val="20"/>
        </w:rPr>
        <w:t>（6）以他人名义投标或者以其他方式弄虚作假，骗取中标的；</w:t>
      </w:r>
    </w:p>
    <w:p>
      <w:pPr>
        <w:spacing w:line="360" w:lineRule="auto"/>
        <w:ind w:firstLine="480" w:firstLineChars="200"/>
        <w:rPr>
          <w:kern w:val="0"/>
          <w:sz w:val="24"/>
          <w:szCs w:val="20"/>
        </w:rPr>
      </w:pPr>
      <w:r>
        <w:rPr>
          <w:rFonts w:hint="eastAsia"/>
          <w:kern w:val="0"/>
          <w:sz w:val="24"/>
          <w:szCs w:val="20"/>
        </w:rPr>
        <w:t>（7）中标人不按规定签订合同；</w:t>
      </w:r>
    </w:p>
    <w:p>
      <w:pPr>
        <w:spacing w:line="360" w:lineRule="auto"/>
        <w:ind w:firstLine="480" w:firstLineChars="200"/>
        <w:rPr>
          <w:kern w:val="0"/>
          <w:sz w:val="24"/>
          <w:szCs w:val="20"/>
        </w:rPr>
      </w:pPr>
      <w:r>
        <w:rPr>
          <w:rFonts w:hint="eastAsia"/>
          <w:kern w:val="0"/>
          <w:sz w:val="24"/>
          <w:szCs w:val="20"/>
        </w:rPr>
        <w:t>（8）不同投标单位负责人为同一人或存在管理关系的；</w:t>
      </w:r>
    </w:p>
    <w:p>
      <w:pPr>
        <w:spacing w:line="360" w:lineRule="auto"/>
        <w:ind w:firstLine="480" w:firstLineChars="200"/>
        <w:rPr>
          <w:kern w:val="0"/>
          <w:sz w:val="24"/>
          <w:szCs w:val="20"/>
        </w:rPr>
      </w:pPr>
      <w:r>
        <w:rPr>
          <w:rFonts w:hint="eastAsia"/>
          <w:kern w:val="0"/>
          <w:sz w:val="24"/>
          <w:szCs w:val="20"/>
        </w:rPr>
        <w:t>（9）投标人被举报、检举，并经招标方查实无误的；</w:t>
      </w:r>
    </w:p>
    <w:p>
      <w:pPr>
        <w:pStyle w:val="2"/>
        <w:spacing w:line="360" w:lineRule="auto"/>
        <w:ind w:firstLine="480"/>
      </w:pPr>
      <w:r>
        <w:rPr>
          <w:rFonts w:hint="eastAsia"/>
          <w:sz w:val="24"/>
          <w:szCs w:val="20"/>
        </w:rPr>
        <w:t>（10）技术标出现报价的；</w:t>
      </w:r>
    </w:p>
    <w:p>
      <w:pPr>
        <w:pStyle w:val="2"/>
        <w:spacing w:line="360" w:lineRule="auto"/>
        <w:ind w:firstLine="480"/>
        <w:rPr>
          <w:color w:val="FF0000"/>
        </w:rPr>
      </w:pPr>
      <w:r>
        <w:rPr>
          <w:rFonts w:hint="eastAsia"/>
          <w:sz w:val="24"/>
          <w:szCs w:val="20"/>
        </w:rPr>
        <w:t>（11）不同投标人投标文件异常一致或报价程差异性变化；</w:t>
      </w:r>
    </w:p>
    <w:p>
      <w:pPr>
        <w:spacing w:line="360" w:lineRule="auto"/>
        <w:ind w:firstLine="480" w:firstLineChars="200"/>
        <w:rPr>
          <w:kern w:val="0"/>
          <w:sz w:val="24"/>
          <w:szCs w:val="20"/>
        </w:rPr>
      </w:pPr>
      <w:r>
        <w:rPr>
          <w:rFonts w:hint="eastAsia"/>
          <w:kern w:val="0"/>
          <w:sz w:val="24"/>
          <w:szCs w:val="20"/>
        </w:rPr>
        <w:t>（12）法律、法规规定的其他情况。</w:t>
      </w:r>
    </w:p>
    <w:p>
      <w:pPr>
        <w:pStyle w:val="4"/>
      </w:pPr>
      <w:bookmarkStart w:id="158" w:name="_Toc15136"/>
      <w:bookmarkStart w:id="159" w:name="_Toc19712"/>
      <w:bookmarkStart w:id="160" w:name="_Toc21427"/>
      <w:r>
        <w:rPr>
          <w:rFonts w:hint="eastAsia"/>
        </w:rPr>
        <w:t>中标人瑕疵滞后发现的处理原则</w:t>
      </w:r>
      <w:bookmarkEnd w:id="158"/>
      <w:bookmarkEnd w:id="159"/>
      <w:bookmarkEnd w:id="160"/>
    </w:p>
    <w:p>
      <w:pPr>
        <w:spacing w:line="360" w:lineRule="auto"/>
        <w:ind w:firstLine="480" w:firstLineChars="200"/>
      </w:pPr>
      <w:r>
        <w:rPr>
          <w:rFonts w:hint="eastAsia" w:ascii="宋体" w:hAnsi="宋体" w:cs="宋体"/>
          <w:color w:val="000000"/>
          <w:sz w:val="24"/>
          <w:szCs w:val="24"/>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pPr>
        <w:ind w:firstLine="480"/>
      </w:pPr>
    </w:p>
    <w:p>
      <w:pPr>
        <w:pStyle w:val="72"/>
        <w:ind w:left="420" w:firstLine="643"/>
      </w:pPr>
      <w:bookmarkStart w:id="161" w:name="_Toc1982"/>
      <w:bookmarkStart w:id="162" w:name="_Toc14379"/>
      <w:bookmarkStart w:id="163" w:name="_Toc17296"/>
      <w:bookmarkStart w:id="164" w:name="_Toc9606"/>
      <w:bookmarkStart w:id="165" w:name="_Toc500420293"/>
      <w:bookmarkStart w:id="166" w:name="_Toc500420375"/>
      <w:r>
        <w:rPr>
          <w:rFonts w:hint="eastAsia"/>
        </w:rPr>
        <w:t xml:space="preserve">  招标项目内容及结算标准</w:t>
      </w:r>
      <w:bookmarkEnd w:id="161"/>
      <w:bookmarkEnd w:id="162"/>
      <w:bookmarkEnd w:id="163"/>
      <w:bookmarkEnd w:id="164"/>
    </w:p>
    <w:p>
      <w:pPr>
        <w:pStyle w:val="4"/>
        <w:rPr>
          <w:sz w:val="22"/>
          <w:szCs w:val="22"/>
        </w:rPr>
      </w:pPr>
      <w:bookmarkStart w:id="167" w:name="_Toc12948"/>
      <w:bookmarkStart w:id="168" w:name="_Toc11209"/>
      <w:bookmarkStart w:id="169" w:name="_Toc25824"/>
      <w:bookmarkStart w:id="170" w:name="_Toc32438"/>
      <w:r>
        <w:rPr>
          <w:rFonts w:hint="eastAsia"/>
        </w:rPr>
        <w:t>3.1项目内容</w:t>
      </w:r>
      <w:bookmarkEnd w:id="167"/>
      <w:bookmarkEnd w:id="168"/>
      <w:bookmarkEnd w:id="169"/>
      <w:bookmarkEnd w:id="170"/>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中国重汽集团济南专用车有限公司各类整车车辆的存放管理。</w:t>
      </w:r>
    </w:p>
    <w:p>
      <w:pPr>
        <w:pStyle w:val="4"/>
        <w:rPr>
          <w:rFonts w:hint="eastAsia" w:ascii="宋体" w:hAnsi="宋体" w:cs="宋体"/>
        </w:rPr>
      </w:pPr>
      <w:bookmarkStart w:id="171" w:name="_Toc7662"/>
      <w:bookmarkStart w:id="172" w:name="_Toc1774"/>
      <w:bookmarkStart w:id="173" w:name="_Toc11639"/>
      <w:r>
        <w:rPr>
          <w:rFonts w:hint="eastAsia"/>
        </w:rPr>
        <w:t>3.2项目存放管理费用标准</w:t>
      </w:r>
      <w:bookmarkEnd w:id="171"/>
      <w:bookmarkEnd w:id="172"/>
      <w:bookmarkEnd w:id="173"/>
    </w:p>
    <w:p>
      <w:pPr>
        <w:spacing w:line="360" w:lineRule="auto"/>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3.2.1 预计存放500辆整车，投标方可提供场地规模，按照每亩地年租金价格核报。</w:t>
      </w:r>
    </w:p>
    <w:p>
      <w:pPr>
        <w:spacing w:line="360" w:lineRule="auto"/>
        <w:ind w:firstLine="480" w:firstLineChars="200"/>
      </w:pPr>
      <w:r>
        <w:rPr>
          <w:rFonts w:hint="eastAsia" w:ascii="宋体" w:hAnsi="宋体" w:cs="宋体"/>
          <w:color w:val="000000"/>
          <w:sz w:val="24"/>
          <w:szCs w:val="24"/>
        </w:rPr>
        <w:t>3.2.2付款方式：运输费由招标方支付；场地租用费每三个月结算一次，当月开票挂账次月付款(电汇)。</w:t>
      </w:r>
    </w:p>
    <w:p>
      <w:pPr>
        <w:pStyle w:val="72"/>
        <w:ind w:left="420" w:firstLine="643"/>
      </w:pPr>
      <w:bookmarkStart w:id="174" w:name="_Toc26576"/>
      <w:bookmarkStart w:id="175" w:name="_Toc22956"/>
      <w:bookmarkStart w:id="176" w:name="_Toc15428"/>
      <w:bookmarkStart w:id="177" w:name="_Toc31141"/>
      <w:r>
        <w:rPr>
          <w:rFonts w:hint="eastAsia"/>
        </w:rPr>
        <w:t xml:space="preserve">  报价及相关要求</w:t>
      </w:r>
      <w:bookmarkEnd w:id="174"/>
      <w:bookmarkEnd w:id="175"/>
      <w:bookmarkEnd w:id="176"/>
      <w:bookmarkEnd w:id="177"/>
    </w:p>
    <w:p>
      <w:pPr>
        <w:pStyle w:val="4"/>
        <w:rPr>
          <w:rFonts w:hint="eastAsia"/>
          <w:sz w:val="24"/>
          <w:szCs w:val="32"/>
          <w:u w:val="single"/>
        </w:rPr>
      </w:pPr>
      <w:bookmarkStart w:id="178" w:name="_Toc9114"/>
      <w:bookmarkStart w:id="179" w:name="_Toc3776"/>
      <w:bookmarkStart w:id="180" w:name="_Toc9575"/>
      <w:r>
        <w:rPr>
          <w:rFonts w:hint="eastAsia"/>
        </w:rPr>
        <w:t>4.1 报价要求</w:t>
      </w:r>
      <w:bookmarkEnd w:id="178"/>
      <w:bookmarkEnd w:id="179"/>
      <w:bookmarkEnd w:id="180"/>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rPr>
        <w:t>4.1.1 按照存放500辆场地需求，可提供场地</w:t>
      </w:r>
      <w:r>
        <w:rPr>
          <w:rFonts w:hint="eastAsia" w:ascii="宋体" w:hAnsi="宋体" w:cs="宋体"/>
          <w:color w:val="000000"/>
          <w:sz w:val="24"/>
          <w:szCs w:val="24"/>
          <w:u w:val="single"/>
        </w:rPr>
        <w:t xml:space="preserve">     亩</w:t>
      </w:r>
      <w:r>
        <w:rPr>
          <w:rFonts w:hint="eastAsia" w:ascii="宋体" w:hAnsi="宋体" w:cs="宋体"/>
          <w:color w:val="000000"/>
          <w:sz w:val="24"/>
          <w:szCs w:val="24"/>
        </w:rPr>
        <w:t>，报价：</w:t>
      </w:r>
      <w:r>
        <w:rPr>
          <w:rFonts w:hint="eastAsia" w:ascii="宋体" w:hAnsi="宋体" w:cs="宋体"/>
          <w:color w:val="000000"/>
          <w:sz w:val="24"/>
          <w:szCs w:val="24"/>
          <w:u w:val="single"/>
        </w:rPr>
        <w:t xml:space="preserve">     </w:t>
      </w:r>
      <w:r>
        <w:rPr>
          <w:rFonts w:hint="eastAsia" w:ascii="宋体" w:hAnsi="宋体" w:cs="宋体"/>
          <w:color w:val="000000"/>
          <w:sz w:val="24"/>
          <w:szCs w:val="24"/>
        </w:rPr>
        <w:t>元/亩/年。</w:t>
      </w:r>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rPr>
        <w:t>4.1.2本招标书涉及的价格均为含税价格，若遇国家增值税税率调整，应按调整后最新税率的金额调整相应的支付款项，</w:t>
      </w:r>
      <w:r>
        <w:rPr>
          <w:rFonts w:hint="eastAsia" w:ascii="宋体" w:hAnsi="宋体" w:cs="宋体"/>
          <w:sz w:val="24"/>
          <w:szCs w:val="24"/>
        </w:rPr>
        <w:t>即合同含税价格不受国家增值税税率调整的影响。</w:t>
      </w:r>
    </w:p>
    <w:p>
      <w:pPr>
        <w:pStyle w:val="2"/>
      </w:pPr>
    </w:p>
    <w:p>
      <w:pPr>
        <w:pStyle w:val="72"/>
        <w:ind w:left="420" w:firstLine="643"/>
      </w:pPr>
      <w:bookmarkStart w:id="181" w:name="_Toc5933"/>
      <w:bookmarkStart w:id="182" w:name="_Toc13602"/>
      <w:bookmarkStart w:id="183" w:name="_Toc7748"/>
      <w:bookmarkStart w:id="184" w:name="_Toc30089"/>
      <w:r>
        <w:rPr>
          <w:rFonts w:hint="eastAsia"/>
        </w:rPr>
        <w:t xml:space="preserve">  评分标准</w:t>
      </w:r>
      <w:bookmarkEnd w:id="181"/>
      <w:bookmarkEnd w:id="182"/>
      <w:bookmarkEnd w:id="183"/>
      <w:bookmarkEnd w:id="184"/>
    </w:p>
    <w:p>
      <w:pPr>
        <w:spacing w:line="360" w:lineRule="auto"/>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本次评标采用技术标和商务标分级开标的模式。首先进行技术标评审，由评标专家组对所有投标方的技术标部分综合评定和打分，招标人有权根据项目情况，采取多轮评标模式，按合理最低价原则确定中标人。评分细则如下：</w:t>
      </w:r>
    </w:p>
    <w:tbl>
      <w:tblPr>
        <w:tblStyle w:val="76"/>
        <w:tblW w:w="9107" w:type="dxa"/>
        <w:tblInd w:w="93" w:type="dxa"/>
        <w:tblLayout w:type="autofit"/>
        <w:tblCellMar>
          <w:top w:w="0" w:type="dxa"/>
          <w:left w:w="108" w:type="dxa"/>
          <w:bottom w:w="0" w:type="dxa"/>
          <w:right w:w="108" w:type="dxa"/>
        </w:tblCellMar>
      </w:tblPr>
      <w:tblGrid>
        <w:gridCol w:w="819"/>
        <w:gridCol w:w="859"/>
        <w:gridCol w:w="2347"/>
        <w:gridCol w:w="839"/>
        <w:gridCol w:w="819"/>
        <w:gridCol w:w="3424"/>
      </w:tblGrid>
      <w:tr>
        <w:tblPrEx>
          <w:tblCellMar>
            <w:top w:w="0" w:type="dxa"/>
            <w:left w:w="108" w:type="dxa"/>
            <w:bottom w:w="0" w:type="dxa"/>
            <w:right w:w="108" w:type="dxa"/>
          </w:tblCellMar>
        </w:tblPrEx>
        <w:trPr>
          <w:trHeight w:val="50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项目</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评分标准及分值</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满分</w:t>
            </w:r>
          </w:p>
        </w:tc>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备注</w:t>
            </w:r>
          </w:p>
        </w:tc>
      </w:tr>
      <w:tr>
        <w:tblPrEx>
          <w:tblCellMar>
            <w:top w:w="0" w:type="dxa"/>
            <w:left w:w="108" w:type="dxa"/>
            <w:bottom w:w="0" w:type="dxa"/>
            <w:right w:w="108" w:type="dxa"/>
          </w:tblCellMar>
        </w:tblPrEx>
        <w:trPr>
          <w:trHeight w:val="500"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月均银行资金流水</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200万元以下</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Arial" w:hAnsi="Arial" w:cs="Arial"/>
                <w:color w:val="000000"/>
                <w:sz w:val="20"/>
                <w:szCs w:val="20"/>
              </w:rPr>
            </w:pPr>
            <w:r>
              <w:rPr>
                <w:rFonts w:hint="eastAsia" w:ascii="Arial" w:hAnsi="Arial" w:cs="Arial"/>
                <w:color w:val="000000"/>
                <w:kern w:val="0"/>
                <w:sz w:val="20"/>
                <w:szCs w:val="20"/>
                <w:lang w:bidi="ar"/>
              </w:rPr>
              <w:t>1</w:t>
            </w:r>
            <w:r>
              <w:rPr>
                <w:rFonts w:ascii="Arial" w:hAnsi="Arial" w:cs="Arial"/>
                <w:color w:val="000000"/>
                <w:kern w:val="0"/>
                <w:sz w:val="20"/>
                <w:szCs w:val="20"/>
                <w:lang w:bidi="ar"/>
              </w:rPr>
              <w:t>0</w:t>
            </w:r>
            <w:r>
              <w:rPr>
                <w:rFonts w:hint="eastAsia" w:ascii="宋体" w:hAnsi="宋体" w:cs="宋体"/>
                <w:color w:val="000000"/>
                <w:kern w:val="0"/>
                <w:sz w:val="20"/>
                <w:szCs w:val="20"/>
                <w:lang w:bidi="ar"/>
              </w:rPr>
              <w:t>分</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sz w:val="20"/>
                <w:szCs w:val="20"/>
              </w:rPr>
              <w:t>35分</w:t>
            </w:r>
          </w:p>
        </w:tc>
        <w:tc>
          <w:tcPr>
            <w:tcW w:w="3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2023年以来银行流水/月份</w:t>
            </w:r>
          </w:p>
        </w:tc>
      </w:tr>
      <w:tr>
        <w:tblPrEx>
          <w:tblCellMar>
            <w:top w:w="0" w:type="dxa"/>
            <w:left w:w="108" w:type="dxa"/>
            <w:bottom w:w="0" w:type="dxa"/>
            <w:right w:w="108" w:type="dxa"/>
          </w:tblCellMar>
        </w:tblPrEx>
        <w:trPr>
          <w:trHeight w:val="50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200万≤银行流水＜500万</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Arial" w:hAnsi="Arial" w:cs="Arial"/>
                <w:color w:val="000000"/>
                <w:sz w:val="20"/>
                <w:szCs w:val="20"/>
              </w:rPr>
            </w:pPr>
            <w:r>
              <w:rPr>
                <w:rFonts w:hint="eastAsia" w:ascii="Arial" w:hAnsi="Arial" w:cs="Arial"/>
                <w:color w:val="000000"/>
                <w:kern w:val="0"/>
                <w:sz w:val="20"/>
                <w:szCs w:val="20"/>
                <w:lang w:bidi="ar"/>
              </w:rPr>
              <w:t>2</w:t>
            </w:r>
            <w:r>
              <w:rPr>
                <w:rFonts w:ascii="Arial" w:hAnsi="Arial" w:cs="Arial"/>
                <w:color w:val="000000"/>
                <w:kern w:val="0"/>
                <w:sz w:val="20"/>
                <w:szCs w:val="20"/>
                <w:lang w:bidi="ar"/>
              </w:rPr>
              <w:t>0</w:t>
            </w:r>
            <w:r>
              <w:rPr>
                <w:rFonts w:hint="eastAsia" w:ascii="宋体" w:hAnsi="宋体" w:cs="宋体"/>
                <w:color w:val="000000"/>
                <w:kern w:val="0"/>
                <w:sz w:val="20"/>
                <w:szCs w:val="20"/>
                <w:lang w:bidi="ar"/>
              </w:rPr>
              <w:t>分</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3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0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500万≤银行流水＜800万</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Arial" w:hAnsi="Arial" w:cs="Arial"/>
                <w:color w:val="000000"/>
                <w:sz w:val="20"/>
                <w:szCs w:val="20"/>
              </w:rPr>
            </w:pPr>
            <w:r>
              <w:rPr>
                <w:rFonts w:hint="eastAsia" w:ascii="Arial" w:hAnsi="Arial" w:cs="Arial"/>
                <w:color w:val="000000"/>
                <w:kern w:val="0"/>
                <w:sz w:val="20"/>
                <w:szCs w:val="20"/>
                <w:lang w:bidi="ar"/>
              </w:rPr>
              <w:t>30</w:t>
            </w:r>
            <w:r>
              <w:rPr>
                <w:rFonts w:hint="eastAsia" w:ascii="宋体" w:hAnsi="宋体" w:cs="宋体"/>
                <w:color w:val="000000"/>
                <w:kern w:val="0"/>
                <w:sz w:val="20"/>
                <w:szCs w:val="20"/>
                <w:lang w:bidi="ar"/>
              </w:rPr>
              <w:t>分</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3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0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800万≤银行流水</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Arial" w:hAnsi="Arial" w:cs="Arial"/>
                <w:color w:val="000000"/>
                <w:sz w:val="20"/>
                <w:szCs w:val="20"/>
              </w:rPr>
            </w:pPr>
            <w:r>
              <w:rPr>
                <w:rFonts w:hint="eastAsia" w:ascii="Arial" w:hAnsi="Arial" w:cs="Arial"/>
                <w:color w:val="000000"/>
                <w:kern w:val="0"/>
                <w:sz w:val="20"/>
                <w:szCs w:val="20"/>
                <w:lang w:bidi="ar"/>
              </w:rPr>
              <w:t>3</w:t>
            </w:r>
            <w:r>
              <w:rPr>
                <w:rFonts w:ascii="Arial" w:hAnsi="Arial" w:cs="Arial"/>
                <w:color w:val="000000"/>
                <w:kern w:val="0"/>
                <w:sz w:val="20"/>
                <w:szCs w:val="20"/>
                <w:lang w:bidi="ar"/>
              </w:rPr>
              <w:t>5</w:t>
            </w:r>
            <w:r>
              <w:rPr>
                <w:rFonts w:hint="eastAsia" w:ascii="宋体" w:hAnsi="宋体" w:cs="宋体"/>
                <w:color w:val="000000"/>
                <w:kern w:val="0"/>
                <w:sz w:val="20"/>
                <w:szCs w:val="20"/>
                <w:lang w:bidi="ar"/>
              </w:rPr>
              <w:t>分</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3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00"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仓储场地</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自有或租用20亩以下</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Arial" w:hAnsi="Arial" w:cs="Arial"/>
                <w:color w:val="000000"/>
                <w:kern w:val="0"/>
                <w:sz w:val="20"/>
                <w:szCs w:val="20"/>
                <w:lang w:bidi="ar"/>
              </w:rPr>
            </w:pPr>
            <w:r>
              <w:rPr>
                <w:rFonts w:hint="eastAsia" w:ascii="Arial" w:hAnsi="Arial" w:cs="Arial"/>
                <w:color w:val="000000"/>
                <w:kern w:val="0"/>
                <w:sz w:val="20"/>
                <w:szCs w:val="20"/>
                <w:lang w:bidi="ar"/>
              </w:rPr>
              <w:t>5分</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sz w:val="20"/>
                <w:szCs w:val="20"/>
              </w:rPr>
              <w:t>20分</w:t>
            </w:r>
          </w:p>
        </w:tc>
        <w:tc>
          <w:tcPr>
            <w:tcW w:w="3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Arial" w:hAnsi="Arial" w:cs="Arial"/>
                <w:color w:val="000000"/>
                <w:sz w:val="20"/>
                <w:szCs w:val="20"/>
              </w:rPr>
            </w:pPr>
            <w:r>
              <w:rPr>
                <w:rFonts w:ascii="Arial" w:hAnsi="Arial" w:cs="Arial"/>
                <w:color w:val="000000"/>
                <w:kern w:val="0"/>
                <w:sz w:val="20"/>
                <w:szCs w:val="20"/>
                <w:lang w:bidi="ar"/>
              </w:rPr>
              <w:t>1</w:t>
            </w:r>
            <w:r>
              <w:rPr>
                <w:rFonts w:hint="eastAsia" w:ascii="宋体" w:hAnsi="宋体" w:cs="宋体"/>
                <w:color w:val="000000"/>
                <w:kern w:val="0"/>
                <w:sz w:val="20"/>
                <w:szCs w:val="20"/>
                <w:lang w:bidi="ar"/>
              </w:rPr>
              <w:t>、自有场地的需提供土地复印件；</w:t>
            </w:r>
            <w:r>
              <w:rPr>
                <w:rFonts w:ascii="Arial" w:hAnsi="Arial" w:cs="Arial"/>
                <w:color w:val="000000"/>
                <w:kern w:val="0"/>
                <w:sz w:val="20"/>
                <w:szCs w:val="20"/>
                <w:lang w:bidi="ar"/>
              </w:rPr>
              <w:t>2</w:t>
            </w:r>
            <w:r>
              <w:rPr>
                <w:rFonts w:hint="eastAsia" w:ascii="宋体" w:hAnsi="宋体" w:cs="宋体"/>
                <w:color w:val="000000"/>
                <w:kern w:val="0"/>
                <w:sz w:val="20"/>
                <w:szCs w:val="20"/>
                <w:lang w:bidi="ar"/>
              </w:rPr>
              <w:t>、租赁场地的需提供租赁合同和土地复印件；</w:t>
            </w:r>
            <w:r>
              <w:rPr>
                <w:rFonts w:ascii="Arial" w:hAnsi="Arial" w:cs="Arial"/>
                <w:color w:val="000000"/>
                <w:kern w:val="0"/>
                <w:sz w:val="20"/>
                <w:szCs w:val="20"/>
                <w:lang w:bidi="ar"/>
              </w:rPr>
              <w:t>3</w:t>
            </w:r>
            <w:r>
              <w:rPr>
                <w:rFonts w:hint="eastAsia" w:ascii="宋体" w:hAnsi="宋体" w:cs="宋体"/>
                <w:color w:val="000000"/>
                <w:kern w:val="0"/>
                <w:sz w:val="20"/>
                <w:szCs w:val="20"/>
                <w:lang w:bidi="ar"/>
              </w:rPr>
              <w:t>、承诺购买或租赁场地的若中标需在</w:t>
            </w:r>
            <w:r>
              <w:rPr>
                <w:rFonts w:ascii="Arial" w:hAnsi="Arial" w:cs="Arial"/>
                <w:color w:val="000000"/>
                <w:kern w:val="0"/>
                <w:sz w:val="20"/>
                <w:szCs w:val="20"/>
                <w:lang w:bidi="ar"/>
              </w:rPr>
              <w:t>15</w:t>
            </w:r>
            <w:r>
              <w:rPr>
                <w:rFonts w:hint="eastAsia" w:ascii="宋体" w:hAnsi="宋体" w:cs="宋体"/>
                <w:color w:val="000000"/>
                <w:kern w:val="0"/>
                <w:sz w:val="20"/>
                <w:szCs w:val="20"/>
                <w:lang w:bidi="ar"/>
              </w:rPr>
              <w:t>天以内按承诺标准兑现，否则投标方有权取消其中标资格。</w:t>
            </w:r>
            <w:r>
              <w:rPr>
                <w:rFonts w:ascii="Arial" w:hAnsi="Arial" w:cs="Arial"/>
                <w:color w:val="000000"/>
                <w:kern w:val="0"/>
                <w:sz w:val="20"/>
                <w:szCs w:val="20"/>
                <w:lang w:bidi="ar"/>
              </w:rPr>
              <w:t>4</w:t>
            </w:r>
            <w:r>
              <w:rPr>
                <w:rFonts w:hint="eastAsia" w:ascii="宋体" w:hAnsi="宋体" w:cs="宋体"/>
                <w:color w:val="000000"/>
                <w:kern w:val="0"/>
                <w:sz w:val="20"/>
                <w:szCs w:val="20"/>
                <w:lang w:bidi="ar"/>
              </w:rPr>
              <w:t>、无自有或租用场地且不承诺购买或租赁场地的，投标方有权取消其中标资格。</w:t>
            </w:r>
          </w:p>
        </w:tc>
      </w:tr>
      <w:tr>
        <w:tblPrEx>
          <w:tblCellMar>
            <w:top w:w="0" w:type="dxa"/>
            <w:left w:w="108" w:type="dxa"/>
            <w:bottom w:w="0" w:type="dxa"/>
            <w:right w:w="108" w:type="dxa"/>
          </w:tblCellMar>
        </w:tblPrEx>
        <w:trPr>
          <w:trHeight w:val="50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20亩≤自有或租用＜30亩</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Arial" w:hAnsi="Arial" w:cs="Arial"/>
                <w:color w:val="000000"/>
                <w:kern w:val="0"/>
                <w:sz w:val="20"/>
                <w:szCs w:val="20"/>
                <w:lang w:bidi="ar"/>
              </w:rPr>
            </w:pPr>
            <w:r>
              <w:rPr>
                <w:rFonts w:hint="eastAsia" w:ascii="Arial" w:hAnsi="Arial" w:cs="Arial"/>
                <w:color w:val="000000"/>
                <w:kern w:val="0"/>
                <w:sz w:val="20"/>
                <w:szCs w:val="20"/>
                <w:lang w:bidi="ar"/>
              </w:rPr>
              <w:t>10分</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3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30亩≤自有或租用＜50亩</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Arial" w:hAnsi="Arial" w:cs="Arial"/>
                <w:color w:val="000000"/>
                <w:kern w:val="0"/>
                <w:sz w:val="20"/>
                <w:szCs w:val="20"/>
                <w:lang w:bidi="ar"/>
              </w:rPr>
            </w:pPr>
            <w:r>
              <w:rPr>
                <w:rFonts w:hint="eastAsia" w:ascii="Arial" w:hAnsi="Arial" w:cs="Arial"/>
                <w:color w:val="000000"/>
                <w:kern w:val="0"/>
                <w:sz w:val="20"/>
                <w:szCs w:val="20"/>
                <w:lang w:bidi="ar"/>
              </w:rPr>
              <w:t>15分</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3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自有或租用50亩及以上</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Arial" w:hAnsi="Arial" w:cs="Arial"/>
                <w:color w:val="000000"/>
                <w:kern w:val="0"/>
                <w:sz w:val="20"/>
                <w:szCs w:val="20"/>
                <w:lang w:bidi="ar"/>
              </w:rPr>
            </w:pPr>
            <w:r>
              <w:rPr>
                <w:rFonts w:hint="eastAsia" w:ascii="Arial" w:hAnsi="Arial" w:cs="Arial"/>
                <w:color w:val="000000"/>
                <w:kern w:val="0"/>
                <w:sz w:val="20"/>
                <w:szCs w:val="20"/>
                <w:lang w:bidi="ar"/>
              </w:rPr>
              <w:t>20分</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3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近三年仓储物流合同</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sz w:val="20"/>
                <w:szCs w:val="20"/>
              </w:rPr>
              <w:t>1份</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Arial" w:hAnsi="Arial" w:cs="Arial"/>
                <w:color w:val="000000"/>
                <w:kern w:val="0"/>
                <w:sz w:val="20"/>
                <w:szCs w:val="20"/>
                <w:lang w:bidi="ar"/>
              </w:rPr>
            </w:pPr>
            <w:r>
              <w:rPr>
                <w:rFonts w:hint="eastAsia" w:ascii="Arial" w:hAnsi="Arial" w:cs="Arial"/>
                <w:color w:val="000000"/>
                <w:kern w:val="0"/>
                <w:sz w:val="20"/>
                <w:szCs w:val="20"/>
                <w:lang w:bidi="ar"/>
              </w:rPr>
              <w:t>5分</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sz w:val="20"/>
                <w:szCs w:val="20"/>
              </w:rPr>
              <w:t>20分</w:t>
            </w:r>
          </w:p>
        </w:tc>
        <w:tc>
          <w:tcPr>
            <w:tcW w:w="3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提供近三年仓储物流合同或者发票复印件</w:t>
            </w:r>
          </w:p>
        </w:tc>
      </w:tr>
      <w:tr>
        <w:tblPrEx>
          <w:tblCellMar>
            <w:top w:w="0" w:type="dxa"/>
            <w:left w:w="108" w:type="dxa"/>
            <w:bottom w:w="0" w:type="dxa"/>
            <w:right w:w="108" w:type="dxa"/>
          </w:tblCellMar>
        </w:tblPrEx>
        <w:trPr>
          <w:trHeight w:val="50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2份</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Arial" w:hAnsi="Arial" w:cs="Arial"/>
                <w:color w:val="000000"/>
                <w:kern w:val="0"/>
                <w:sz w:val="20"/>
                <w:szCs w:val="20"/>
                <w:lang w:bidi="ar"/>
              </w:rPr>
            </w:pPr>
            <w:r>
              <w:rPr>
                <w:rFonts w:hint="eastAsia" w:ascii="Arial" w:hAnsi="Arial" w:cs="Arial"/>
                <w:color w:val="000000"/>
                <w:kern w:val="0"/>
                <w:sz w:val="20"/>
                <w:szCs w:val="20"/>
                <w:lang w:bidi="ar"/>
              </w:rPr>
              <w:t>10分</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3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0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3份</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Arial" w:hAnsi="Arial" w:cs="Arial"/>
                <w:color w:val="000000"/>
                <w:kern w:val="0"/>
                <w:sz w:val="20"/>
                <w:szCs w:val="20"/>
                <w:lang w:bidi="ar"/>
              </w:rPr>
            </w:pPr>
            <w:r>
              <w:rPr>
                <w:rFonts w:hint="eastAsia" w:ascii="Arial" w:hAnsi="Arial" w:cs="Arial"/>
                <w:color w:val="000000"/>
                <w:kern w:val="0"/>
                <w:sz w:val="20"/>
                <w:szCs w:val="20"/>
                <w:lang w:bidi="ar"/>
              </w:rPr>
              <w:t>15分</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3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0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3份以上</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Arial" w:hAnsi="Arial" w:cs="Arial"/>
                <w:color w:val="000000"/>
                <w:kern w:val="0"/>
                <w:sz w:val="20"/>
                <w:szCs w:val="20"/>
                <w:lang w:bidi="ar"/>
              </w:rPr>
            </w:pPr>
            <w:r>
              <w:rPr>
                <w:rFonts w:hint="eastAsia" w:ascii="Arial" w:hAnsi="Arial" w:cs="Arial"/>
                <w:color w:val="000000"/>
                <w:kern w:val="0"/>
                <w:sz w:val="20"/>
                <w:szCs w:val="20"/>
                <w:lang w:bidi="ar"/>
              </w:rPr>
              <w:t>20分</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3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00"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注册资金</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Arial" w:hAnsi="Arial" w:cs="Arial"/>
                <w:color w:val="000000"/>
                <w:sz w:val="20"/>
                <w:szCs w:val="20"/>
              </w:rPr>
            </w:pPr>
            <w:r>
              <w:rPr>
                <w:rFonts w:hint="eastAsia" w:ascii="Arial" w:hAnsi="Arial" w:cs="Arial"/>
                <w:color w:val="000000"/>
                <w:kern w:val="0"/>
                <w:sz w:val="20"/>
                <w:szCs w:val="20"/>
                <w:lang w:bidi="ar"/>
              </w:rPr>
              <w:t>2</w:t>
            </w:r>
            <w:r>
              <w:rPr>
                <w:rFonts w:ascii="Arial" w:hAnsi="Arial" w:cs="Arial"/>
                <w:color w:val="000000"/>
                <w:kern w:val="0"/>
                <w:sz w:val="20"/>
                <w:szCs w:val="20"/>
                <w:lang w:bidi="ar"/>
              </w:rPr>
              <w:t>00</w:t>
            </w:r>
            <w:r>
              <w:rPr>
                <w:rFonts w:hint="eastAsia" w:ascii="宋体" w:hAnsi="宋体" w:cs="宋体"/>
                <w:color w:val="000000"/>
                <w:kern w:val="0"/>
                <w:sz w:val="20"/>
                <w:szCs w:val="20"/>
                <w:lang w:bidi="ar"/>
              </w:rPr>
              <w:t>万</w:t>
            </w:r>
            <w:r>
              <w:rPr>
                <w:rFonts w:ascii="Arial" w:hAnsi="Arial" w:cs="Arial"/>
                <w:color w:val="000000"/>
                <w:kern w:val="0"/>
                <w:sz w:val="20"/>
                <w:szCs w:val="20"/>
                <w:lang w:bidi="ar"/>
              </w:rPr>
              <w:t>≤</w:t>
            </w:r>
            <w:r>
              <w:rPr>
                <w:rFonts w:hint="eastAsia" w:ascii="宋体" w:hAnsi="宋体" w:cs="宋体"/>
                <w:color w:val="000000"/>
                <w:kern w:val="0"/>
                <w:sz w:val="20"/>
                <w:szCs w:val="20"/>
                <w:lang w:bidi="ar"/>
              </w:rPr>
              <w:t>注册资金＜500万</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Arial" w:hAnsi="Arial" w:cs="Arial"/>
                <w:color w:val="000000"/>
                <w:kern w:val="0"/>
                <w:sz w:val="20"/>
                <w:szCs w:val="20"/>
                <w:lang w:bidi="ar"/>
              </w:rPr>
            </w:pPr>
            <w:r>
              <w:rPr>
                <w:rFonts w:hint="eastAsia" w:ascii="Arial" w:hAnsi="Arial" w:cs="Arial"/>
                <w:color w:val="000000"/>
                <w:kern w:val="0"/>
                <w:sz w:val="20"/>
                <w:szCs w:val="20"/>
                <w:lang w:bidi="ar"/>
              </w:rPr>
              <w:t>5分</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15分</w:t>
            </w:r>
          </w:p>
        </w:tc>
        <w:tc>
          <w:tcPr>
            <w:tcW w:w="3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以营业执照登记的注册资金为准</w:t>
            </w:r>
          </w:p>
        </w:tc>
      </w:tr>
      <w:tr>
        <w:tblPrEx>
          <w:tblCellMar>
            <w:top w:w="0" w:type="dxa"/>
            <w:left w:w="108" w:type="dxa"/>
            <w:bottom w:w="0" w:type="dxa"/>
            <w:right w:w="108" w:type="dxa"/>
          </w:tblCellMar>
        </w:tblPrEx>
        <w:trPr>
          <w:trHeight w:val="50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Arial" w:hAnsi="Arial" w:cs="Arial"/>
                <w:color w:val="000000"/>
                <w:sz w:val="20"/>
                <w:szCs w:val="20"/>
              </w:rPr>
            </w:pPr>
            <w:r>
              <w:rPr>
                <w:rFonts w:hint="eastAsia" w:ascii="Arial" w:hAnsi="Arial" w:cs="Arial"/>
                <w:color w:val="000000"/>
                <w:kern w:val="0"/>
                <w:sz w:val="20"/>
                <w:szCs w:val="20"/>
                <w:lang w:bidi="ar"/>
              </w:rPr>
              <w:t>5</w:t>
            </w:r>
            <w:r>
              <w:rPr>
                <w:rFonts w:ascii="Arial" w:hAnsi="Arial" w:cs="Arial"/>
                <w:color w:val="000000"/>
                <w:kern w:val="0"/>
                <w:sz w:val="20"/>
                <w:szCs w:val="20"/>
                <w:lang w:bidi="ar"/>
              </w:rPr>
              <w:t>00</w:t>
            </w:r>
            <w:r>
              <w:rPr>
                <w:rFonts w:hint="eastAsia" w:ascii="宋体" w:hAnsi="宋体" w:cs="宋体"/>
                <w:color w:val="000000"/>
                <w:kern w:val="0"/>
                <w:sz w:val="20"/>
                <w:szCs w:val="20"/>
                <w:lang w:bidi="ar"/>
              </w:rPr>
              <w:t>万</w:t>
            </w:r>
            <w:r>
              <w:rPr>
                <w:rFonts w:ascii="Arial" w:hAnsi="Arial" w:cs="Arial"/>
                <w:color w:val="000000"/>
                <w:kern w:val="0"/>
                <w:sz w:val="20"/>
                <w:szCs w:val="20"/>
                <w:lang w:bidi="ar"/>
              </w:rPr>
              <w:t>≤</w:t>
            </w:r>
            <w:r>
              <w:rPr>
                <w:rFonts w:hint="eastAsia" w:ascii="宋体" w:hAnsi="宋体" w:cs="宋体"/>
                <w:color w:val="000000"/>
                <w:kern w:val="0"/>
                <w:sz w:val="20"/>
                <w:szCs w:val="20"/>
                <w:lang w:bidi="ar"/>
              </w:rPr>
              <w:t>注册资金＜1000万</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Arial" w:hAnsi="Arial" w:cs="Arial"/>
                <w:color w:val="000000"/>
                <w:kern w:val="0"/>
                <w:sz w:val="20"/>
                <w:szCs w:val="20"/>
                <w:lang w:bidi="ar"/>
              </w:rPr>
            </w:pPr>
            <w:r>
              <w:rPr>
                <w:rFonts w:hint="eastAsia" w:ascii="Arial" w:hAnsi="Arial" w:cs="Arial"/>
                <w:color w:val="000000"/>
                <w:kern w:val="0"/>
                <w:sz w:val="20"/>
                <w:szCs w:val="20"/>
                <w:lang w:bidi="ar"/>
              </w:rPr>
              <w:t>10分</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3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0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Arial" w:hAnsi="Arial" w:cs="Arial"/>
                <w:color w:val="000000"/>
                <w:sz w:val="20"/>
                <w:szCs w:val="20"/>
              </w:rPr>
            </w:pPr>
            <w:r>
              <w:rPr>
                <w:rFonts w:hint="eastAsia" w:ascii="Arial" w:hAnsi="Arial" w:cs="Arial"/>
                <w:color w:val="000000"/>
                <w:kern w:val="0"/>
                <w:sz w:val="20"/>
                <w:szCs w:val="20"/>
                <w:lang w:bidi="ar"/>
              </w:rPr>
              <w:t>10</w:t>
            </w:r>
            <w:r>
              <w:rPr>
                <w:rFonts w:ascii="Arial" w:hAnsi="Arial" w:cs="Arial"/>
                <w:color w:val="000000"/>
                <w:kern w:val="0"/>
                <w:sz w:val="20"/>
                <w:szCs w:val="20"/>
                <w:lang w:bidi="ar"/>
              </w:rPr>
              <w:t>00</w:t>
            </w:r>
            <w:r>
              <w:rPr>
                <w:rFonts w:hint="eastAsia" w:ascii="宋体" w:hAnsi="宋体" w:cs="宋体"/>
                <w:color w:val="000000"/>
                <w:kern w:val="0"/>
                <w:sz w:val="20"/>
                <w:szCs w:val="20"/>
                <w:lang w:bidi="ar"/>
              </w:rPr>
              <w:t>万及以上</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Arial" w:hAnsi="Arial" w:cs="Arial"/>
                <w:color w:val="000000"/>
                <w:kern w:val="0"/>
                <w:sz w:val="20"/>
                <w:szCs w:val="20"/>
                <w:lang w:bidi="ar"/>
              </w:rPr>
            </w:pPr>
            <w:r>
              <w:rPr>
                <w:rFonts w:hint="eastAsia" w:ascii="Arial" w:hAnsi="Arial" w:cs="Arial"/>
                <w:color w:val="000000"/>
                <w:kern w:val="0"/>
                <w:sz w:val="20"/>
                <w:szCs w:val="20"/>
                <w:lang w:bidi="ar"/>
              </w:rPr>
              <w:t>15分</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3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00"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存放场地安全措施</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Arial" w:hAnsi="Arial" w:cs="Arial"/>
                <w:color w:val="000000"/>
                <w:sz w:val="20"/>
                <w:szCs w:val="20"/>
              </w:rPr>
            </w:pPr>
            <w:r>
              <w:rPr>
                <w:rFonts w:hint="eastAsia" w:ascii="Arial" w:hAnsi="Arial" w:cs="Arial"/>
                <w:color w:val="000000"/>
                <w:sz w:val="20"/>
                <w:szCs w:val="20"/>
              </w:rPr>
              <w:t>无封闭式场地</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Arial" w:hAnsi="Arial" w:cs="Arial"/>
                <w:color w:val="000000"/>
                <w:kern w:val="0"/>
                <w:sz w:val="20"/>
                <w:szCs w:val="20"/>
                <w:lang w:bidi="ar"/>
              </w:rPr>
            </w:pPr>
            <w:r>
              <w:rPr>
                <w:rFonts w:hint="eastAsia" w:ascii="Arial" w:hAnsi="Arial" w:cs="Arial"/>
                <w:color w:val="000000"/>
                <w:kern w:val="0"/>
                <w:sz w:val="20"/>
                <w:szCs w:val="20"/>
                <w:lang w:bidi="ar"/>
              </w:rPr>
              <w:t>0分</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10分</w:t>
            </w:r>
          </w:p>
        </w:tc>
        <w:tc>
          <w:tcPr>
            <w:tcW w:w="3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需提供场地实景照片</w:t>
            </w:r>
          </w:p>
        </w:tc>
      </w:tr>
      <w:tr>
        <w:tblPrEx>
          <w:tblCellMar>
            <w:top w:w="0" w:type="dxa"/>
            <w:left w:w="108" w:type="dxa"/>
            <w:bottom w:w="0" w:type="dxa"/>
            <w:right w:w="108" w:type="dxa"/>
          </w:tblCellMar>
        </w:tblPrEx>
        <w:trPr>
          <w:trHeight w:val="50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Arial" w:hAnsi="Arial" w:cs="Arial"/>
                <w:color w:val="000000"/>
                <w:sz w:val="20"/>
                <w:szCs w:val="20"/>
              </w:rPr>
            </w:pPr>
            <w:r>
              <w:rPr>
                <w:rFonts w:hint="eastAsia" w:ascii="Arial" w:hAnsi="Arial" w:cs="Arial"/>
                <w:color w:val="000000"/>
                <w:kern w:val="0"/>
                <w:sz w:val="20"/>
                <w:szCs w:val="20"/>
                <w:lang w:bidi="ar"/>
              </w:rPr>
              <w:t>有封闭式场地有监控</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Arial" w:hAnsi="Arial" w:cs="Arial"/>
                <w:color w:val="000000"/>
                <w:kern w:val="0"/>
                <w:sz w:val="20"/>
                <w:szCs w:val="20"/>
                <w:lang w:bidi="ar"/>
              </w:rPr>
            </w:pPr>
            <w:r>
              <w:rPr>
                <w:rFonts w:hint="eastAsia" w:ascii="Arial" w:hAnsi="Arial" w:cs="Arial"/>
                <w:color w:val="000000"/>
                <w:kern w:val="0"/>
                <w:sz w:val="20"/>
                <w:szCs w:val="20"/>
                <w:lang w:bidi="ar"/>
              </w:rPr>
              <w:t>5分</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3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0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Arial" w:hAnsi="Arial" w:cs="Arial"/>
                <w:color w:val="000000"/>
                <w:sz w:val="20"/>
                <w:szCs w:val="20"/>
              </w:rPr>
            </w:pPr>
            <w:r>
              <w:rPr>
                <w:rFonts w:hint="eastAsia" w:ascii="Arial" w:hAnsi="Arial" w:cs="Arial"/>
                <w:color w:val="000000"/>
                <w:kern w:val="0"/>
                <w:sz w:val="20"/>
                <w:szCs w:val="20"/>
                <w:lang w:bidi="ar"/>
              </w:rPr>
              <w:t>有封闭场地有监控有人值守</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Arial" w:hAnsi="Arial" w:cs="Arial"/>
                <w:color w:val="000000"/>
                <w:kern w:val="0"/>
                <w:sz w:val="20"/>
                <w:szCs w:val="20"/>
                <w:lang w:bidi="ar"/>
              </w:rPr>
            </w:pPr>
            <w:r>
              <w:rPr>
                <w:rFonts w:hint="eastAsia" w:ascii="Arial" w:hAnsi="Arial" w:cs="Arial"/>
                <w:color w:val="000000"/>
                <w:kern w:val="0"/>
                <w:sz w:val="20"/>
                <w:szCs w:val="20"/>
                <w:lang w:bidi="ar"/>
              </w:rPr>
              <w:t>10分</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c>
          <w:tcPr>
            <w:tcW w:w="3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00" w:hRule="atLeast"/>
        </w:trPr>
        <w:tc>
          <w:tcPr>
            <w:tcW w:w="3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合计</w:t>
            </w:r>
          </w:p>
        </w:tc>
        <w:tc>
          <w:tcPr>
            <w:tcW w:w="52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100分</w:t>
            </w:r>
          </w:p>
        </w:tc>
      </w:tr>
    </w:tbl>
    <w:p>
      <w:pPr>
        <w:pStyle w:val="2"/>
        <w:ind w:firstLine="0" w:firstLineChars="0"/>
      </w:pPr>
    </w:p>
    <w:p>
      <w:pPr>
        <w:spacing w:line="360" w:lineRule="auto"/>
        <w:ind w:firstLine="482"/>
        <w:rPr>
          <w:rFonts w:hint="eastAsia" w:ascii="宋体" w:hAnsi="宋体"/>
          <w:b/>
          <w:bCs/>
          <w:sz w:val="24"/>
          <w:szCs w:val="24"/>
        </w:rPr>
      </w:pPr>
      <w:r>
        <w:rPr>
          <w:rFonts w:hint="eastAsia" w:ascii="宋体" w:hAnsi="宋体"/>
          <w:b/>
          <w:bCs/>
          <w:sz w:val="24"/>
          <w:szCs w:val="24"/>
        </w:rPr>
        <w:t>注：</w:t>
      </w:r>
    </w:p>
    <w:p>
      <w:pPr>
        <w:spacing w:line="360" w:lineRule="auto"/>
        <w:ind w:firstLine="480"/>
        <w:rPr>
          <w:rFonts w:hint="eastAsia" w:ascii="宋体" w:hAnsi="宋体" w:cs="宋体"/>
          <w:kern w:val="0"/>
          <w:sz w:val="24"/>
        </w:rPr>
      </w:pPr>
      <w:r>
        <w:rPr>
          <w:rFonts w:hint="eastAsia" w:ascii="宋体" w:hAnsi="宋体"/>
          <w:bCs/>
          <w:sz w:val="24"/>
          <w:szCs w:val="24"/>
        </w:rPr>
        <w:t>1、</w:t>
      </w:r>
      <w:r>
        <w:rPr>
          <w:rFonts w:hint="eastAsia" w:ascii="宋体" w:hAnsi="宋体" w:cs="宋体"/>
          <w:kern w:val="0"/>
          <w:sz w:val="24"/>
        </w:rPr>
        <w:t>投标人综合评审得分取所有评委对该投标人计分之和的算术平均值，最终得分小数点后保留2位有效数字，</w:t>
      </w:r>
      <w:r>
        <w:rPr>
          <w:rFonts w:hint="eastAsia" w:ascii="宋体" w:hAnsi="宋体" w:cs="宋体"/>
          <w:sz w:val="24"/>
          <w:szCs w:val="24"/>
        </w:rPr>
        <w:t>第3位四舍五入</w:t>
      </w:r>
      <w:r>
        <w:rPr>
          <w:rFonts w:hint="eastAsia" w:ascii="宋体" w:hAnsi="宋体" w:cs="宋体"/>
          <w:kern w:val="0"/>
          <w:sz w:val="24"/>
        </w:rPr>
        <w:t>。</w:t>
      </w:r>
    </w:p>
    <w:p>
      <w:pPr>
        <w:spacing w:line="360" w:lineRule="auto"/>
        <w:ind w:firstLine="480"/>
        <w:rPr>
          <w:sz w:val="24"/>
          <w:szCs w:val="24"/>
        </w:rPr>
      </w:pPr>
      <w:r>
        <w:rPr>
          <w:rFonts w:hint="eastAsia"/>
          <w:sz w:val="24"/>
          <w:szCs w:val="24"/>
        </w:rPr>
        <w:t>2、出现下列情形</w:t>
      </w:r>
      <w:r>
        <w:rPr>
          <w:rFonts w:hint="eastAsia" w:ascii="宋体" w:hAnsi="宋体" w:cs="宋体"/>
          <w:kern w:val="0"/>
          <w:sz w:val="24"/>
          <w:szCs w:val="24"/>
        </w:rPr>
        <w:t>之一</w:t>
      </w:r>
      <w:r>
        <w:rPr>
          <w:rFonts w:hint="eastAsia"/>
          <w:sz w:val="24"/>
          <w:szCs w:val="24"/>
        </w:rPr>
        <w:t>，招标人有权否决所有投标人的投标，并终止招标。</w:t>
      </w:r>
    </w:p>
    <w:p>
      <w:pPr>
        <w:pStyle w:val="337"/>
        <w:ind w:firstLine="482" w:firstLineChars="0"/>
        <w:rPr>
          <w:rFonts w:hint="eastAsia"/>
          <w:b/>
        </w:rPr>
      </w:pPr>
      <w:r>
        <w:rPr>
          <w:rFonts w:hint="eastAsia"/>
        </w:rPr>
        <w:t>（1）符合条件的投标人或者对招标文件做实质响应的投标人不足三家的。</w:t>
      </w:r>
    </w:p>
    <w:p>
      <w:pPr>
        <w:pStyle w:val="337"/>
        <w:ind w:firstLine="482" w:firstLineChars="0"/>
        <w:rPr>
          <w:rFonts w:hint="eastAsia"/>
        </w:rPr>
      </w:pPr>
      <w:r>
        <w:rPr>
          <w:rFonts w:hint="eastAsia"/>
        </w:rPr>
        <w:t>（2）出现影响采购公正的违法、违规行为的；</w:t>
      </w:r>
    </w:p>
    <w:p>
      <w:pPr>
        <w:pStyle w:val="337"/>
        <w:ind w:firstLine="482" w:firstLineChars="0"/>
        <w:rPr>
          <w:rFonts w:hint="eastAsia"/>
        </w:rPr>
      </w:pPr>
      <w:r>
        <w:rPr>
          <w:rFonts w:hint="eastAsia"/>
        </w:rPr>
        <w:t>（3）因重大变故，采购任务取消的；</w:t>
      </w:r>
    </w:p>
    <w:p>
      <w:pPr>
        <w:pStyle w:val="337"/>
        <w:ind w:firstLine="482" w:firstLineChars="0"/>
        <w:rPr>
          <w:rFonts w:hAnsi="Courier New"/>
        </w:rPr>
      </w:pPr>
      <w:r>
        <w:rPr>
          <w:rFonts w:hint="eastAsia" w:hAnsi="Courier New"/>
        </w:rPr>
        <w:t>（4）评标委员会经评审，认为所有投标都不符合招标文件要求的。</w:t>
      </w:r>
    </w:p>
    <w:p>
      <w:pPr>
        <w:pStyle w:val="337"/>
        <w:ind w:firstLine="482" w:firstLineChars="0"/>
        <w:rPr>
          <w:rFonts w:hint="eastAsia"/>
        </w:rPr>
      </w:pPr>
      <w:r>
        <w:rPr>
          <w:rFonts w:hint="eastAsia"/>
        </w:rPr>
        <w:t>（5）招标人认为其他应终止招标的情形。</w:t>
      </w:r>
    </w:p>
    <w:p>
      <w:pPr>
        <w:spacing w:line="360" w:lineRule="auto"/>
        <w:ind w:firstLine="480"/>
        <w:rPr>
          <w:sz w:val="24"/>
          <w:szCs w:val="24"/>
        </w:rPr>
      </w:pPr>
      <w:r>
        <w:rPr>
          <w:rFonts w:hint="eastAsia"/>
          <w:sz w:val="24"/>
          <w:szCs w:val="24"/>
        </w:rPr>
        <w:t>3、投标人有下列情形之一，其投标将被视为废标，招标人将严格按照《中华人民共和国招标投标法》及相关法律、法规及规章制度的规定行使权利。投标人给招标人造成损失的，招标人有索赔的权利，投标人应予以赔偿。</w:t>
      </w:r>
    </w:p>
    <w:p>
      <w:pPr>
        <w:pStyle w:val="337"/>
        <w:ind w:firstLine="482" w:firstLineChars="0"/>
        <w:rPr>
          <w:rFonts w:hint="eastAsia"/>
        </w:rPr>
      </w:pPr>
      <w:r>
        <w:rPr>
          <w:rFonts w:hint="eastAsia"/>
        </w:rPr>
        <w:t>（1）投标人提供的有关资格、资质证明文件不合格、不真实或提供虚假投标材料；</w:t>
      </w:r>
    </w:p>
    <w:p>
      <w:pPr>
        <w:pStyle w:val="337"/>
        <w:ind w:firstLine="482" w:firstLineChars="0"/>
        <w:rPr>
          <w:rFonts w:hint="eastAsia"/>
        </w:rPr>
      </w:pPr>
      <w:r>
        <w:rPr>
          <w:rFonts w:hint="eastAsia"/>
        </w:rPr>
        <w:t>（2）投标人在报价有效期内撤回投标；</w:t>
      </w:r>
    </w:p>
    <w:p>
      <w:pPr>
        <w:pStyle w:val="337"/>
        <w:ind w:firstLine="482" w:firstLineChars="0"/>
        <w:rPr>
          <w:rFonts w:hint="eastAsia"/>
        </w:rPr>
      </w:pPr>
      <w:r>
        <w:rPr>
          <w:rFonts w:hint="eastAsia"/>
        </w:rPr>
        <w:t>（3）在整个评标过程中，投标人有企图影响评标结果公正性的任何活动；</w:t>
      </w:r>
    </w:p>
    <w:p>
      <w:pPr>
        <w:pStyle w:val="337"/>
        <w:ind w:firstLine="482" w:firstLineChars="0"/>
        <w:rPr>
          <w:rFonts w:hint="eastAsia"/>
        </w:rPr>
      </w:pPr>
      <w:r>
        <w:rPr>
          <w:rFonts w:hint="eastAsia"/>
        </w:rPr>
        <w:t>（4）投标人以任何方式诋毁其他投标人；</w:t>
      </w:r>
    </w:p>
    <w:p>
      <w:pPr>
        <w:pStyle w:val="337"/>
        <w:ind w:firstLine="482" w:firstLineChars="0"/>
        <w:rPr>
          <w:rFonts w:hint="eastAsia"/>
        </w:rPr>
      </w:pPr>
      <w:r>
        <w:rPr>
          <w:rFonts w:hint="eastAsia"/>
        </w:rPr>
        <w:t>（5）投标人串通投标；</w:t>
      </w:r>
    </w:p>
    <w:p>
      <w:pPr>
        <w:pStyle w:val="337"/>
        <w:ind w:firstLine="482" w:firstLineChars="0"/>
        <w:rPr>
          <w:rFonts w:hint="eastAsia"/>
        </w:rPr>
      </w:pPr>
      <w:r>
        <w:rPr>
          <w:rFonts w:hint="eastAsia"/>
        </w:rPr>
        <w:t>（6）以他人名义投标或者以其他方式弄虚作假，骗取中标的；</w:t>
      </w:r>
    </w:p>
    <w:p>
      <w:pPr>
        <w:pStyle w:val="337"/>
        <w:ind w:firstLine="482" w:firstLineChars="0"/>
        <w:rPr>
          <w:rFonts w:hint="eastAsia"/>
        </w:rPr>
      </w:pPr>
      <w:r>
        <w:rPr>
          <w:rFonts w:hint="eastAsia"/>
        </w:rPr>
        <w:t>（7）不同单位的投标人负责人为同一人或者存在控股、管理关系的；</w:t>
      </w:r>
    </w:p>
    <w:p>
      <w:pPr>
        <w:spacing w:line="360" w:lineRule="auto"/>
        <w:ind w:right="2" w:firstLine="480"/>
        <w:rPr>
          <w:rFonts w:hint="eastAsia" w:ascii="宋体" w:hAnsi="宋体"/>
          <w:color w:val="000000"/>
          <w:sz w:val="24"/>
          <w:szCs w:val="24"/>
        </w:rPr>
      </w:pPr>
      <w:r>
        <w:rPr>
          <w:rFonts w:hint="eastAsia" w:ascii="宋体" w:hAnsi="宋体"/>
          <w:color w:val="000000"/>
          <w:sz w:val="24"/>
          <w:szCs w:val="24"/>
        </w:rPr>
        <w:t>（8）技术标评审后入围投标人少于3家。</w:t>
      </w:r>
    </w:p>
    <w:p>
      <w:pPr>
        <w:spacing w:line="360" w:lineRule="auto"/>
        <w:ind w:right="2" w:firstLine="480"/>
        <w:rPr>
          <w:rFonts w:hint="eastAsia" w:ascii="宋体" w:hAnsi="宋体"/>
          <w:color w:val="000000"/>
          <w:sz w:val="24"/>
          <w:szCs w:val="24"/>
        </w:rPr>
      </w:pPr>
      <w:r>
        <w:rPr>
          <w:rFonts w:hint="eastAsia" w:ascii="宋体" w:hAnsi="宋体"/>
          <w:color w:val="000000"/>
          <w:sz w:val="24"/>
          <w:szCs w:val="24"/>
        </w:rPr>
        <w:t>（9）中标人不按规定签订合同；</w:t>
      </w:r>
    </w:p>
    <w:p>
      <w:pPr>
        <w:spacing w:line="360" w:lineRule="auto"/>
        <w:ind w:right="2" w:firstLine="480"/>
        <w:rPr>
          <w:rFonts w:hint="eastAsia" w:ascii="宋体" w:hAnsi="宋体"/>
          <w:color w:val="000000"/>
          <w:sz w:val="24"/>
          <w:szCs w:val="24"/>
        </w:rPr>
      </w:pPr>
      <w:r>
        <w:rPr>
          <w:rFonts w:hint="eastAsia" w:ascii="宋体" w:hAnsi="宋体"/>
          <w:color w:val="000000"/>
          <w:sz w:val="24"/>
          <w:szCs w:val="24"/>
        </w:rPr>
        <w:t>（10）技术标出现报价的；</w:t>
      </w:r>
    </w:p>
    <w:p>
      <w:pPr>
        <w:pStyle w:val="2"/>
        <w:ind w:firstLine="480"/>
      </w:pPr>
      <w:r>
        <w:rPr>
          <w:rFonts w:hint="eastAsia" w:ascii="宋体" w:hAnsi="宋体"/>
          <w:color w:val="000000"/>
          <w:sz w:val="24"/>
          <w:szCs w:val="24"/>
        </w:rPr>
        <w:t xml:space="preserve">（11) </w:t>
      </w:r>
      <w:r>
        <w:rPr>
          <w:rFonts w:hint="eastAsia" w:ascii="宋体" w:hAnsi="宋体"/>
          <w:color w:val="000000"/>
          <w:kern w:val="2"/>
          <w:sz w:val="24"/>
          <w:szCs w:val="24"/>
        </w:rPr>
        <w:t>不同投标人投标文件异常一致或报价程差异性变化</w:t>
      </w:r>
      <w:r>
        <w:rPr>
          <w:rFonts w:hint="eastAsia" w:ascii="宋体" w:hAnsi="宋体"/>
          <w:color w:val="000000"/>
          <w:sz w:val="24"/>
          <w:szCs w:val="24"/>
        </w:rPr>
        <w:t>；</w:t>
      </w:r>
    </w:p>
    <w:p>
      <w:pPr>
        <w:spacing w:line="360" w:lineRule="auto"/>
        <w:ind w:right="2" w:firstLine="480"/>
        <w:rPr>
          <w:rFonts w:hint="eastAsia" w:ascii="宋体" w:hAnsi="宋体"/>
          <w:color w:val="000000"/>
          <w:sz w:val="24"/>
          <w:szCs w:val="24"/>
        </w:rPr>
      </w:pPr>
      <w:r>
        <w:rPr>
          <w:rFonts w:hint="eastAsia" w:ascii="宋体" w:hAnsi="宋体"/>
          <w:color w:val="000000"/>
          <w:sz w:val="24"/>
          <w:szCs w:val="24"/>
        </w:rPr>
        <w:t>（12）法律、法规规定的其他情况。</w:t>
      </w:r>
    </w:p>
    <w:p>
      <w:pPr>
        <w:pStyle w:val="2"/>
        <w:ind w:firstLine="480"/>
        <w:rPr>
          <w:kern w:val="2"/>
          <w:sz w:val="24"/>
          <w:szCs w:val="24"/>
        </w:rPr>
      </w:pPr>
      <w:r>
        <w:rPr>
          <w:rFonts w:hint="eastAsia"/>
          <w:kern w:val="2"/>
          <w:sz w:val="24"/>
          <w:szCs w:val="24"/>
        </w:rPr>
        <w:t>4、解释权</w:t>
      </w:r>
    </w:p>
    <w:p>
      <w:pPr>
        <w:spacing w:line="360" w:lineRule="auto"/>
        <w:ind w:firstLine="480"/>
      </w:pPr>
      <w:r>
        <w:rPr>
          <w:rFonts w:hint="eastAsia"/>
          <w:sz w:val="24"/>
          <w:szCs w:val="24"/>
        </w:rPr>
        <w:t>本招标文件的最终解释权归招标人，当对一个问题有多种解释时以招标人的书面解释为准。招标文件未做须知明示，而又有相关法律、法规规定的，招标人对此所做解释以相关的法律、法规规定为依据。</w:t>
      </w:r>
    </w:p>
    <w:p>
      <w:pPr>
        <w:pStyle w:val="2"/>
        <w:ind w:firstLine="0" w:firstLineChars="0"/>
      </w:pPr>
    </w:p>
    <w:p>
      <w:pPr>
        <w:ind w:firstLine="480"/>
      </w:pPr>
    </w:p>
    <w:bookmarkEnd w:id="165"/>
    <w:bookmarkEnd w:id="166"/>
    <w:p>
      <w:pPr>
        <w:wordWrap w:val="0"/>
        <w:adjustRightInd w:val="0"/>
        <w:snapToGrid w:val="0"/>
        <w:spacing w:line="360" w:lineRule="auto"/>
        <w:ind w:right="240"/>
        <w:jc w:val="right"/>
        <w:rPr>
          <w:rFonts w:hint="eastAsia" w:ascii="方正小标宋简体" w:eastAsia="方正小标宋简体" w:hAnsiTheme="minorEastAsia"/>
          <w:sz w:val="24"/>
          <w:szCs w:val="24"/>
        </w:rPr>
      </w:pPr>
      <w:bookmarkStart w:id="185" w:name="_Toc283814116"/>
    </w:p>
    <w:bookmarkEnd w:id="185"/>
    <w:p>
      <w:pPr>
        <w:ind w:firstLine="480"/>
      </w:pPr>
    </w:p>
    <w:p>
      <w:pPr>
        <w:pStyle w:val="2"/>
      </w:pPr>
    </w:p>
    <w:p>
      <w:pPr>
        <w:ind w:firstLine="480"/>
      </w:pPr>
    </w:p>
    <w:p>
      <w:pPr>
        <w:pStyle w:val="2"/>
      </w:pPr>
    </w:p>
    <w:p>
      <w:pPr>
        <w:ind w:firstLine="480"/>
      </w:pPr>
    </w:p>
    <w:p>
      <w:pPr>
        <w:pStyle w:val="2"/>
      </w:pPr>
    </w:p>
    <w:p>
      <w:pPr>
        <w:ind w:firstLine="480"/>
      </w:pPr>
    </w:p>
    <w:p>
      <w:pPr>
        <w:pStyle w:val="2"/>
      </w:pPr>
    </w:p>
    <w:p>
      <w:pPr>
        <w:ind w:firstLine="480"/>
      </w:pPr>
    </w:p>
    <w:p>
      <w:pPr>
        <w:spacing w:line="360" w:lineRule="auto"/>
        <w:ind w:firstLine="482"/>
        <w:jc w:val="left"/>
        <w:rPr>
          <w:b/>
          <w:kern w:val="0"/>
          <w:sz w:val="24"/>
          <w:szCs w:val="32"/>
        </w:rPr>
      </w:pPr>
      <w:r>
        <w:rPr>
          <w:rFonts w:hint="eastAsia"/>
          <w:b/>
          <w:kern w:val="0"/>
          <w:sz w:val="24"/>
          <w:szCs w:val="32"/>
        </w:rPr>
        <w:t>6.1附件1：开标一览表</w:t>
      </w:r>
    </w:p>
    <w:p>
      <w:pPr>
        <w:pStyle w:val="2"/>
        <w:ind w:firstLine="482"/>
        <w:jc w:val="center"/>
        <w:rPr>
          <w:b/>
          <w:bCs/>
          <w:sz w:val="24"/>
          <w:szCs w:val="24"/>
        </w:rPr>
      </w:pPr>
      <w:r>
        <w:rPr>
          <w:rFonts w:hint="eastAsia"/>
          <w:b/>
          <w:bCs/>
          <w:sz w:val="24"/>
          <w:szCs w:val="24"/>
        </w:rPr>
        <w:t>开标一览表</w:t>
      </w:r>
    </w:p>
    <w:p>
      <w:pPr>
        <w:ind w:firstLine="480"/>
      </w:pPr>
    </w:p>
    <w:p>
      <w:pPr>
        <w:spacing w:line="360" w:lineRule="auto"/>
        <w:ind w:firstLine="482" w:firstLineChars="200"/>
        <w:jc w:val="left"/>
      </w:pPr>
      <w:bookmarkStart w:id="186" w:name="_Toc31101"/>
      <w:bookmarkStart w:id="187" w:name="_Toc28039"/>
      <w:r>
        <w:rPr>
          <w:rFonts w:hint="eastAsia"/>
          <w:b/>
          <w:kern w:val="0"/>
          <w:sz w:val="24"/>
          <w:szCs w:val="32"/>
          <w:u w:val="single"/>
        </w:rPr>
        <w:t xml:space="preserve">     </w:t>
      </w:r>
      <w:r>
        <w:rPr>
          <w:rFonts w:hint="eastAsia"/>
          <w:b/>
          <w:kern w:val="0"/>
          <w:sz w:val="24"/>
          <w:szCs w:val="32"/>
        </w:rPr>
        <w:t>元/亩/年。</w:t>
      </w:r>
    </w:p>
    <w:p>
      <w:pPr>
        <w:ind w:firstLine="480"/>
      </w:pPr>
    </w:p>
    <w:p>
      <w:pPr>
        <w:spacing w:line="360" w:lineRule="auto"/>
        <w:ind w:firstLine="482"/>
        <w:jc w:val="left"/>
      </w:pPr>
      <w:r>
        <w:rPr>
          <w:rFonts w:hint="eastAsia"/>
          <w:b/>
          <w:kern w:val="0"/>
          <w:sz w:val="24"/>
          <w:szCs w:val="32"/>
        </w:rPr>
        <w:t>6.2附件2：  投标函</w:t>
      </w:r>
      <w:bookmarkEnd w:id="186"/>
      <w:bookmarkEnd w:id="187"/>
    </w:p>
    <w:p>
      <w:pPr>
        <w:spacing w:line="440" w:lineRule="exact"/>
        <w:ind w:firstLine="482"/>
        <w:jc w:val="center"/>
        <w:rPr>
          <w:rFonts w:hint="eastAsia" w:ascii="宋体" w:hAnsi="宋体" w:cs="宋体"/>
          <w:sz w:val="24"/>
          <w:szCs w:val="24"/>
        </w:rPr>
      </w:pPr>
      <w:r>
        <w:rPr>
          <w:rFonts w:hint="eastAsia" w:ascii="宋体" w:hAnsi="宋体" w:cs="宋体"/>
          <w:b/>
          <w:color w:val="000000"/>
          <w:sz w:val="24"/>
          <w:szCs w:val="24"/>
        </w:rPr>
        <w:t>投标函</w:t>
      </w:r>
    </w:p>
    <w:p>
      <w:pPr>
        <w:spacing w:line="440" w:lineRule="exact"/>
        <w:jc w:val="center"/>
        <w:rPr>
          <w:rFonts w:hint="eastAsia" w:ascii="宋体" w:hAnsi="宋体" w:cs="宋体"/>
          <w:sz w:val="24"/>
          <w:szCs w:val="24"/>
        </w:rPr>
      </w:pPr>
    </w:p>
    <w:p>
      <w:pPr>
        <w:spacing w:line="440" w:lineRule="exact"/>
        <w:rPr>
          <w:rFonts w:hint="eastAsia" w:ascii="宋体" w:hAnsi="宋体" w:cs="宋体"/>
          <w:sz w:val="24"/>
          <w:szCs w:val="24"/>
        </w:rPr>
      </w:pPr>
      <w:r>
        <w:rPr>
          <w:rFonts w:hint="eastAsia" w:ascii="宋体" w:hAnsi="宋体" w:cs="宋体"/>
          <w:color w:val="000000"/>
          <w:sz w:val="24"/>
          <w:szCs w:val="24"/>
        </w:rPr>
        <w:t>中国重汽集团济南专用车有限公司：</w:t>
      </w:r>
    </w:p>
    <w:p>
      <w:pPr>
        <w:spacing w:line="440" w:lineRule="exact"/>
        <w:ind w:firstLine="480" w:firstLineChars="200"/>
        <w:rPr>
          <w:rFonts w:hint="eastAsia" w:ascii="宋体" w:hAnsi="宋体" w:cs="宋体"/>
          <w:sz w:val="24"/>
          <w:szCs w:val="24"/>
        </w:rPr>
      </w:pPr>
      <w:r>
        <w:rPr>
          <w:rFonts w:hint="eastAsia" w:ascii="宋体" w:hAnsi="宋体" w:cs="宋体"/>
          <w:color w:val="000000"/>
          <w:sz w:val="24"/>
          <w:szCs w:val="24"/>
        </w:rPr>
        <w:t>经研究，我公司决定参加</w:t>
      </w:r>
      <w:r>
        <w:rPr>
          <w:rFonts w:hint="eastAsia" w:ascii="宋体" w:hAnsi="宋体" w:cs="宋体"/>
          <w:color w:val="000000"/>
          <w:sz w:val="24"/>
          <w:szCs w:val="24"/>
          <w:u w:val="single"/>
        </w:rPr>
        <w:t xml:space="preserve">              </w:t>
      </w:r>
      <w:r>
        <w:rPr>
          <w:rFonts w:hint="eastAsia" w:ascii="宋体" w:hAnsi="宋体" w:cs="宋体"/>
          <w:color w:val="000000"/>
          <w:sz w:val="24"/>
          <w:szCs w:val="24"/>
        </w:rPr>
        <w:t>邀请招标活动并提交投标文件。为此，我方郑重声明以下诸点，并负法律责任：</w:t>
      </w:r>
    </w:p>
    <w:p>
      <w:pPr>
        <w:spacing w:line="440" w:lineRule="exact"/>
        <w:ind w:firstLine="480" w:firstLineChars="200"/>
        <w:rPr>
          <w:rFonts w:hint="eastAsia" w:ascii="宋体" w:hAnsi="宋体"/>
        </w:rPr>
      </w:pPr>
      <w:r>
        <w:rPr>
          <w:rFonts w:hint="eastAsia" w:ascii="宋体" w:hAnsi="宋体" w:cs="宋体"/>
          <w:color w:val="000000"/>
          <w:sz w:val="24"/>
          <w:szCs w:val="24"/>
        </w:rPr>
        <w:t>1.我方接受招标文件的所有条款、条件和规定，放弃对招标文件提出质疑的权利。</w:t>
      </w:r>
    </w:p>
    <w:p>
      <w:pPr>
        <w:spacing w:line="440" w:lineRule="exact"/>
        <w:ind w:firstLine="480" w:firstLineChars="200"/>
        <w:rPr>
          <w:rFonts w:hint="eastAsia" w:ascii="宋体" w:hAnsi="宋体" w:cs="宋体"/>
          <w:sz w:val="24"/>
          <w:szCs w:val="24"/>
        </w:rPr>
      </w:pPr>
      <w:r>
        <w:rPr>
          <w:rFonts w:hint="eastAsia" w:ascii="宋体" w:hAnsi="宋体" w:cs="宋体"/>
          <w:color w:val="000000"/>
          <w:sz w:val="24"/>
          <w:szCs w:val="24"/>
        </w:rPr>
        <w:t>2.我方按规定提交的投标文件，正本一份，副本六份。</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3.如果我们的投标文件被接受，我们将履行招标文件中规定的每一项要求，并按我们投标文件中的承诺，保证按期完成项目的实施。</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4.我方接受贵方因公司战略或重大决策调整而引起的交货期、方案变动甚至终止项目、合同或重新组织招标的要求。</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5.投标人承诺所提供的所有数据和资料均真实有效，如存在虚报情况，投标人愿为此承担一切法律责任，并主动退出本项目竞标。</w:t>
      </w:r>
    </w:p>
    <w:p>
      <w:pPr>
        <w:spacing w:line="440" w:lineRule="exact"/>
        <w:ind w:firstLine="480" w:firstLineChars="200"/>
      </w:pPr>
      <w:r>
        <w:rPr>
          <w:rFonts w:hint="eastAsia" w:ascii="宋体" w:hAnsi="宋体" w:cs="宋体"/>
          <w:color w:val="000000"/>
          <w:sz w:val="24"/>
          <w:szCs w:val="24"/>
        </w:rPr>
        <w:t>6.我方同意提供贵方要求的可能与投标有关的一切资料、数据或信息。</w:t>
      </w:r>
    </w:p>
    <w:p>
      <w:pPr>
        <w:spacing w:line="440" w:lineRule="exact"/>
        <w:ind w:firstLine="480" w:firstLineChars="200"/>
        <w:rPr>
          <w:rFonts w:hint="eastAsia" w:ascii="宋体" w:hAnsi="宋体" w:cs="宋体"/>
          <w:sz w:val="24"/>
          <w:szCs w:val="24"/>
        </w:rPr>
      </w:pPr>
      <w:r>
        <w:rPr>
          <w:rFonts w:hint="eastAsia" w:ascii="宋体" w:hAnsi="宋体" w:cs="宋体"/>
          <w:color w:val="000000"/>
          <w:sz w:val="24"/>
          <w:szCs w:val="24"/>
        </w:rPr>
        <w:t>7.我方愿按《中华人民共和国民法典》履行自己的全部责任。</w:t>
      </w:r>
    </w:p>
    <w:p>
      <w:pPr>
        <w:spacing w:line="440" w:lineRule="exact"/>
        <w:ind w:firstLine="480" w:firstLineChars="200"/>
        <w:rPr>
          <w:rFonts w:hint="eastAsia" w:ascii="宋体" w:hAnsi="宋体" w:cs="宋体"/>
          <w:sz w:val="24"/>
          <w:szCs w:val="24"/>
        </w:rPr>
      </w:pPr>
      <w:r>
        <w:rPr>
          <w:rFonts w:hint="eastAsia" w:ascii="宋体" w:hAnsi="宋体" w:cs="宋体"/>
          <w:color w:val="000000"/>
          <w:sz w:val="24"/>
          <w:szCs w:val="24"/>
        </w:rPr>
        <w:t>8.我们同意按招标文件要求交纳投标保证金拾万元整，且遵守贵单位对本次项目所做的有关规定。</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9.我方的投标文件自提交之日起有效期为90个日历日, 如我方中标，有效期将延至合同有效期废标日为止。</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10.我方承诺对于招标文件中预计运量等涉密信息将严格保密，如存在泄密情况，我方愿为此承担一切法律责任并接受招标人的处理决定。 </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11.我方若未成为中标人，贵单位有权不做任何解释。</w:t>
      </w:r>
    </w:p>
    <w:p>
      <w:pPr>
        <w:pStyle w:val="2"/>
      </w:pP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投标人（公章）：</w:t>
      </w:r>
    </w:p>
    <w:p>
      <w:pPr>
        <w:pStyle w:val="2"/>
        <w:ind w:firstLine="480"/>
        <w:rPr>
          <w:rFonts w:hint="eastAsia" w:ascii="宋体" w:hAnsi="宋体" w:cs="宋体"/>
          <w:color w:val="000000"/>
          <w:sz w:val="24"/>
          <w:szCs w:val="24"/>
        </w:rPr>
      </w:pPr>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rPr>
        <w:t>法定代表人签字或盖章：</w:t>
      </w:r>
    </w:p>
    <w:p>
      <w:pPr>
        <w:pStyle w:val="2"/>
        <w:ind w:firstLine="0" w:firstLineChars="0"/>
      </w:pPr>
      <w:r>
        <w:rPr>
          <w:rFonts w:hint="eastAsia"/>
        </w:rPr>
        <w:t xml:space="preserve">                  </w:t>
      </w:r>
    </w:p>
    <w:p>
      <w:pPr>
        <w:spacing w:line="360" w:lineRule="auto"/>
        <w:ind w:firstLine="5760" w:firstLineChars="2400"/>
        <w:rPr>
          <w:rFonts w:hint="eastAsia" w:ascii="宋体" w:hAnsi="宋体" w:cs="宋体"/>
          <w:sz w:val="24"/>
          <w:szCs w:val="24"/>
        </w:rPr>
      </w:pPr>
      <w:r>
        <w:rPr>
          <w:rFonts w:hint="eastAsia" w:ascii="宋体" w:hAnsi="宋体" w:cs="宋体"/>
          <w:color w:val="000000"/>
          <w:sz w:val="24"/>
          <w:szCs w:val="24"/>
        </w:rPr>
        <w:t>日 期：      年   月   日</w:t>
      </w:r>
    </w:p>
    <w:p>
      <w:pPr>
        <w:pStyle w:val="4"/>
      </w:pPr>
      <w:bookmarkStart w:id="188" w:name="_Toc453709582"/>
      <w:bookmarkStart w:id="189" w:name="_Toc3545"/>
      <w:bookmarkStart w:id="190" w:name="_Toc16261"/>
      <w:bookmarkStart w:id="191" w:name="_Toc2170"/>
    </w:p>
    <w:p>
      <w:pPr>
        <w:pStyle w:val="4"/>
        <w:rPr>
          <w:b/>
        </w:rPr>
      </w:pPr>
      <w:r>
        <w:rPr>
          <w:rFonts w:hint="eastAsia"/>
        </w:rPr>
        <w:t>6.3附件</w:t>
      </w:r>
      <w:bookmarkEnd w:id="188"/>
      <w:r>
        <w:rPr>
          <w:rFonts w:hint="eastAsia"/>
        </w:rPr>
        <w:t>3：承诺书</w:t>
      </w:r>
      <w:bookmarkEnd w:id="189"/>
      <w:bookmarkEnd w:id="190"/>
      <w:bookmarkEnd w:id="191"/>
    </w:p>
    <w:p>
      <w:pPr>
        <w:pStyle w:val="30"/>
        <w:spacing w:after="0" w:line="360" w:lineRule="auto"/>
        <w:ind w:firstLine="480"/>
        <w:rPr>
          <w:rFonts w:hint="eastAsia" w:ascii="宋体" w:hAnsi="宋体"/>
        </w:rPr>
      </w:pPr>
    </w:p>
    <w:p>
      <w:pPr>
        <w:spacing w:line="360" w:lineRule="auto"/>
        <w:ind w:firstLine="482"/>
        <w:jc w:val="center"/>
        <w:rPr>
          <w:rFonts w:hint="eastAsia" w:ascii="宋体" w:hAnsi="宋体" w:cs="宋体"/>
          <w:sz w:val="24"/>
          <w:szCs w:val="24"/>
        </w:rPr>
      </w:pPr>
      <w:r>
        <w:rPr>
          <w:rFonts w:hint="eastAsia" w:ascii="宋体" w:hAnsi="宋体" w:cs="宋体"/>
          <w:b/>
          <w:color w:val="000000"/>
          <w:sz w:val="24"/>
          <w:szCs w:val="24"/>
        </w:rPr>
        <w:t>承诺书</w:t>
      </w: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u w:val="single"/>
        </w:rPr>
        <w:t xml:space="preserve">                            （投标人单位名称）</w:t>
      </w:r>
      <w:r>
        <w:rPr>
          <w:rFonts w:hint="eastAsia" w:ascii="宋体" w:hAnsi="宋体" w:cs="宋体"/>
          <w:color w:val="000000"/>
          <w:sz w:val="24"/>
          <w:szCs w:val="24"/>
        </w:rPr>
        <w:t>承诺在</w:t>
      </w:r>
      <w:r>
        <w:rPr>
          <w:rFonts w:hint="eastAsia" w:ascii="宋体" w:hAnsi="宋体" w:cs="宋体"/>
          <w:b/>
          <w:color w:val="000000"/>
          <w:sz w:val="24"/>
          <w:szCs w:val="24"/>
          <w:u w:val="single"/>
        </w:rPr>
        <w:t>中国重汽集团济南专用车有限公司</w:t>
      </w:r>
      <w:r>
        <w:rPr>
          <w:rFonts w:hint="eastAsia" w:ascii="宋体" w:hAnsi="宋体" w:cs="宋体"/>
          <w:color w:val="000000"/>
          <w:sz w:val="24"/>
          <w:szCs w:val="24"/>
        </w:rPr>
        <w:t>组织的</w:t>
      </w:r>
      <w:r>
        <w:rPr>
          <w:rFonts w:hint="eastAsia" w:ascii="宋体" w:hAnsi="宋体" w:cs="宋体"/>
          <w:b/>
          <w:color w:val="000000"/>
          <w:sz w:val="24"/>
          <w:szCs w:val="24"/>
          <w:u w:val="single"/>
        </w:rPr>
        <w:t xml:space="preserve">                             项目</w:t>
      </w:r>
      <w:r>
        <w:rPr>
          <w:rFonts w:hint="eastAsia" w:ascii="宋体" w:hAnsi="宋体" w:cs="宋体"/>
          <w:color w:val="000000"/>
          <w:sz w:val="24"/>
          <w:szCs w:val="24"/>
        </w:rPr>
        <w:t>过程中所递交资质证明、企业业绩、相关证件、专项授权以及其他一切文件真实有效。</w:t>
      </w:r>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rPr>
        <w:t>若发现我公司存在提报虚假材料的情况，我公司愿意承担一切法律责任，并退出此次投标。</w:t>
      </w: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rPr>
        <w:t>投标人（公章）：</w:t>
      </w: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rPr>
        <w:t>法定代表人签字或盖章：</w:t>
      </w:r>
    </w:p>
    <w:p>
      <w:pPr>
        <w:spacing w:line="360" w:lineRule="auto"/>
        <w:ind w:firstLine="480" w:firstLineChars="200"/>
        <w:rPr>
          <w:rFonts w:hint="eastAsia" w:ascii="宋体" w:hAnsi="宋体" w:cs="宋体"/>
          <w:sz w:val="24"/>
          <w:szCs w:val="24"/>
        </w:rPr>
      </w:pPr>
    </w:p>
    <w:p>
      <w:pPr>
        <w:spacing w:line="360" w:lineRule="auto"/>
        <w:ind w:firstLine="5760" w:firstLineChars="2400"/>
        <w:rPr>
          <w:rFonts w:hint="eastAsia" w:ascii="宋体" w:hAnsi="宋体" w:cs="宋体"/>
          <w:sz w:val="24"/>
          <w:szCs w:val="24"/>
        </w:rPr>
      </w:pPr>
      <w:r>
        <w:rPr>
          <w:rFonts w:hint="eastAsia" w:ascii="宋体" w:hAnsi="宋体" w:cs="宋体"/>
          <w:color w:val="000000"/>
          <w:sz w:val="24"/>
          <w:szCs w:val="24"/>
        </w:rPr>
        <w:t>日 期：      年   月   日</w:t>
      </w:r>
    </w:p>
    <w:p>
      <w:pPr>
        <w:spacing w:line="360" w:lineRule="auto"/>
        <w:rPr>
          <w:rFonts w:hint="eastAsia" w:ascii="宋体" w:hAnsi="宋体" w:cs="宋体"/>
          <w:sz w:val="24"/>
          <w:szCs w:val="24"/>
        </w:rPr>
      </w:pPr>
    </w:p>
    <w:p>
      <w:pPr>
        <w:pStyle w:val="30"/>
        <w:spacing w:after="0" w:line="360" w:lineRule="auto"/>
      </w:pPr>
      <w:r>
        <w:rPr>
          <w:rFonts w:ascii="宋体" w:hAnsi="宋体"/>
        </w:rPr>
        <w:br w:type="page"/>
      </w:r>
      <w:bookmarkStart w:id="192" w:name="_Toc518655806"/>
      <w:bookmarkStart w:id="193" w:name="_Toc353881014"/>
      <w:bookmarkStart w:id="194" w:name="_Toc32246"/>
      <w:bookmarkStart w:id="195" w:name="_Toc14032"/>
      <w:bookmarkStart w:id="196" w:name="_Toc424118183"/>
      <w:bookmarkStart w:id="197" w:name="_Toc28991"/>
      <w:bookmarkStart w:id="198" w:name="_Toc12165"/>
      <w:bookmarkStart w:id="199" w:name="_Toc29539"/>
      <w:r>
        <w:rPr>
          <w:rStyle w:val="144"/>
          <w:rFonts w:hint="eastAsia"/>
        </w:rPr>
        <w:t>6.4附件</w:t>
      </w:r>
      <w:bookmarkEnd w:id="192"/>
      <w:bookmarkEnd w:id="193"/>
      <w:bookmarkEnd w:id="194"/>
      <w:bookmarkEnd w:id="195"/>
      <w:bookmarkEnd w:id="196"/>
      <w:r>
        <w:rPr>
          <w:rStyle w:val="144"/>
          <w:rFonts w:hint="eastAsia"/>
        </w:rPr>
        <w:t>4：授权委托书</w:t>
      </w:r>
      <w:bookmarkEnd w:id="197"/>
      <w:bookmarkEnd w:id="198"/>
      <w:bookmarkEnd w:id="199"/>
    </w:p>
    <w:p>
      <w:pPr>
        <w:spacing w:line="360" w:lineRule="auto"/>
        <w:jc w:val="center"/>
        <w:rPr>
          <w:rFonts w:hint="eastAsia" w:ascii="宋体" w:hAnsi="宋体" w:cs="宋体"/>
          <w:sz w:val="24"/>
          <w:szCs w:val="24"/>
        </w:rPr>
      </w:pPr>
    </w:p>
    <w:p>
      <w:pPr>
        <w:spacing w:line="360" w:lineRule="auto"/>
        <w:ind w:firstLine="482"/>
        <w:jc w:val="center"/>
        <w:rPr>
          <w:rFonts w:hint="eastAsia" w:ascii="宋体" w:hAnsi="宋体" w:cs="宋体"/>
          <w:sz w:val="24"/>
          <w:szCs w:val="24"/>
        </w:rPr>
      </w:pPr>
      <w:r>
        <w:rPr>
          <w:rFonts w:hint="eastAsia" w:ascii="宋体" w:hAnsi="宋体" w:cs="宋体"/>
          <w:b/>
          <w:color w:val="000000"/>
          <w:sz w:val="24"/>
          <w:szCs w:val="24"/>
        </w:rPr>
        <w:t>授权委托书</w:t>
      </w:r>
    </w:p>
    <w:p>
      <w:pPr>
        <w:spacing w:line="360" w:lineRule="auto"/>
        <w:jc w:val="center"/>
        <w:rPr>
          <w:rFonts w:hint="eastAsia" w:ascii="宋体" w:hAnsi="宋体" w:cs="宋体"/>
          <w:sz w:val="24"/>
          <w:szCs w:val="24"/>
        </w:rPr>
      </w:pPr>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rPr>
        <w:t>兹有：</w:t>
      </w:r>
      <w:r>
        <w:rPr>
          <w:rFonts w:hint="eastAsia" w:ascii="宋体" w:hAnsi="宋体" w:cs="宋体"/>
          <w:color w:val="000000"/>
          <w:sz w:val="24"/>
          <w:szCs w:val="24"/>
          <w:u w:val="single"/>
        </w:rPr>
        <w:t xml:space="preserve">            </w:t>
      </w:r>
      <w:r>
        <w:rPr>
          <w:rFonts w:hint="eastAsia" w:ascii="宋体" w:hAnsi="宋体" w:cs="宋体"/>
          <w:color w:val="000000"/>
          <w:sz w:val="24"/>
          <w:szCs w:val="24"/>
        </w:rPr>
        <w:t>系</w:t>
      </w:r>
      <w:r>
        <w:rPr>
          <w:rFonts w:hint="eastAsia" w:ascii="宋体" w:hAnsi="宋体" w:cs="宋体"/>
          <w:color w:val="000000"/>
          <w:sz w:val="24"/>
          <w:szCs w:val="24"/>
          <w:u w:val="single"/>
        </w:rPr>
        <w:t xml:space="preserve">                      </w:t>
      </w:r>
      <w:r>
        <w:rPr>
          <w:rFonts w:hint="eastAsia" w:ascii="宋体" w:hAnsi="宋体" w:cs="宋体"/>
          <w:color w:val="000000"/>
          <w:sz w:val="24"/>
          <w:szCs w:val="24"/>
        </w:rPr>
        <w:t>法定代表人（或负责人），联系电话：</w:t>
      </w:r>
      <w:r>
        <w:rPr>
          <w:rFonts w:hint="eastAsia" w:ascii="宋体" w:hAnsi="宋体" w:cs="宋体"/>
          <w:color w:val="000000"/>
          <w:sz w:val="24"/>
          <w:szCs w:val="24"/>
          <w:u w:val="single"/>
        </w:rPr>
        <w:t xml:space="preserve">           </w:t>
      </w:r>
      <w:r>
        <w:rPr>
          <w:rFonts w:hint="eastAsia" w:ascii="宋体" w:hAnsi="宋体" w:cs="宋体"/>
          <w:color w:val="000000"/>
          <w:sz w:val="24"/>
          <w:szCs w:val="24"/>
        </w:rPr>
        <w:t>，住址：</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rPr>
        <w:t xml:space="preserve">特授权 </w:t>
      </w:r>
      <w:r>
        <w:rPr>
          <w:rFonts w:hint="eastAsia" w:ascii="宋体" w:hAnsi="宋体" w:cs="宋体"/>
          <w:color w:val="000000"/>
          <w:sz w:val="24"/>
          <w:szCs w:val="24"/>
          <w:u w:val="single"/>
        </w:rPr>
        <w:t xml:space="preserve">                 </w:t>
      </w:r>
      <w:r>
        <w:rPr>
          <w:rFonts w:hint="eastAsia" w:ascii="宋体" w:hAnsi="宋体" w:cs="宋体"/>
          <w:color w:val="000000"/>
          <w:sz w:val="24"/>
          <w:szCs w:val="24"/>
        </w:rPr>
        <w:t>，单位职务：</w:t>
      </w:r>
      <w:r>
        <w:rPr>
          <w:rFonts w:hint="eastAsia" w:ascii="宋体" w:hAnsi="宋体" w:cs="宋体"/>
          <w:color w:val="000000"/>
          <w:sz w:val="24"/>
          <w:szCs w:val="24"/>
          <w:u w:val="single"/>
        </w:rPr>
        <w:t xml:space="preserve">                 </w:t>
      </w:r>
      <w:r>
        <w:rPr>
          <w:rFonts w:hint="eastAsia" w:ascii="宋体" w:hAnsi="宋体" w:cs="宋体"/>
          <w:color w:val="000000"/>
          <w:sz w:val="24"/>
          <w:szCs w:val="24"/>
        </w:rPr>
        <w:t>，身份证号：</w:t>
      </w:r>
      <w:r>
        <w:rPr>
          <w:rFonts w:hint="eastAsia" w:ascii="宋体" w:hAnsi="宋体" w:cs="宋体"/>
          <w:color w:val="000000"/>
          <w:sz w:val="24"/>
          <w:szCs w:val="24"/>
          <w:u w:val="single"/>
        </w:rPr>
        <w:t xml:space="preserve">                </w:t>
      </w:r>
      <w:r>
        <w:rPr>
          <w:rFonts w:hint="eastAsia" w:ascii="宋体" w:hAnsi="宋体" w:cs="宋体"/>
          <w:color w:val="000000"/>
          <w:sz w:val="24"/>
          <w:szCs w:val="24"/>
        </w:rPr>
        <w:t>，联系电话：</w:t>
      </w:r>
      <w:r>
        <w:rPr>
          <w:rFonts w:hint="eastAsia" w:ascii="宋体" w:hAnsi="宋体" w:cs="宋体"/>
          <w:color w:val="000000"/>
          <w:sz w:val="24"/>
          <w:szCs w:val="24"/>
          <w:u w:val="single"/>
        </w:rPr>
        <w:t xml:space="preserve">                 </w:t>
      </w:r>
      <w:r>
        <w:rPr>
          <w:rFonts w:hint="eastAsia" w:ascii="宋体" w:hAnsi="宋体" w:cs="宋体"/>
          <w:color w:val="000000"/>
          <w:sz w:val="24"/>
          <w:szCs w:val="24"/>
        </w:rPr>
        <w:t>，为本公司（单位）的委托代理人。</w:t>
      </w:r>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rPr>
        <w:t>授权权限：代理与中国重汽集团济南专用车有限公司招投标文件递交、《商品车存放保管合同》及其附件协议签署。</w:t>
      </w:r>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rPr>
        <w:t>授权期限：自     年    月    日至     年    月    日止。</w:t>
      </w:r>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rPr>
        <w:t>委托代理人的代理行为，本公司（单位）均予以认可，并承担经济或法律责任。</w:t>
      </w:r>
    </w:p>
    <w:p>
      <w:pPr>
        <w:spacing w:line="360" w:lineRule="auto"/>
        <w:ind w:firstLine="480"/>
        <w:rPr>
          <w:rFonts w:hint="eastAsia" w:ascii="宋体" w:hAnsi="宋体" w:cs="宋体"/>
          <w:sz w:val="24"/>
          <w:szCs w:val="24"/>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332105</wp:posOffset>
                </wp:positionH>
                <wp:positionV relativeFrom="paragraph">
                  <wp:posOffset>128905</wp:posOffset>
                </wp:positionV>
                <wp:extent cx="2657475" cy="1552575"/>
                <wp:effectExtent l="4445" t="4445" r="5080" b="5080"/>
                <wp:wrapNone/>
                <wp:docPr id="2" name="矩形 1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jc w:val="center"/>
                            </w:pPr>
                          </w:p>
                          <w:p>
                            <w:pPr>
                              <w:ind w:firstLine="480"/>
                              <w:jc w:val="center"/>
                            </w:pPr>
                          </w:p>
                          <w:p>
                            <w:pPr>
                              <w:ind w:firstLine="480"/>
                              <w:jc w:val="center"/>
                            </w:pPr>
                          </w:p>
                          <w:p>
                            <w:pPr>
                              <w:ind w:firstLine="480"/>
                              <w:jc w:val="center"/>
                            </w:pPr>
                            <w:r>
                              <w:rPr>
                                <w:rFonts w:hint="eastAsia"/>
                              </w:rPr>
                              <w:t>法定代表人身份证复印件（正面）</w:t>
                            </w:r>
                          </w:p>
                          <w:p>
                            <w:pPr>
                              <w:ind w:firstLine="480"/>
                              <w:jc w:val="center"/>
                            </w:pPr>
                          </w:p>
                          <w:p>
                            <w:pPr>
                              <w:ind w:firstLine="480"/>
                              <w:jc w:val="center"/>
                            </w:pPr>
                          </w:p>
                        </w:txbxContent>
                      </wps:txbx>
                      <wps:bodyPr wrap="square" upright="true"/>
                    </wps:wsp>
                  </a:graphicData>
                </a:graphic>
              </wp:anchor>
            </w:drawing>
          </mc:Choice>
          <mc:Fallback>
            <w:pict>
              <v:rect id="矩形 13" o:spid="_x0000_s1026" o:spt="1" style="position:absolute;left:0pt;margin-left:26.15pt;margin-top:10.15pt;height:122.25pt;width:209.25pt;z-index:251661312;mso-width-relative:page;mso-height-relative:page;" fillcolor="#FFFFFF" filled="t" stroked="t" coordsize="21600,21600" o:gfxdata="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yYImv2AAAAAkBAAAPAAAAAAAAAAEAIAAAADgA&#10;AABkcnMvZG93bnJldi54bWxQSwECFAAUAAAACACHTuJAtzbXDPMBAADuAwAADgAAAAAAAAABACAA&#10;AAA9AQAAZHJzL2Uyb0RvYy54bWxQSwUGAAAAAAYABgBZAQAAogUAAAAA&#10;">
                <v:fill on="t" focussize="0,0"/>
                <v:stroke color="#000000" joinstyle="miter"/>
                <v:imagedata o:title=""/>
                <o:lock v:ext="edit" aspectratio="f"/>
                <v:textbox>
                  <w:txbxContent>
                    <w:p>
                      <w:pPr>
                        <w:ind w:firstLine="480"/>
                        <w:jc w:val="center"/>
                      </w:pPr>
                    </w:p>
                    <w:p>
                      <w:pPr>
                        <w:ind w:firstLine="480"/>
                        <w:jc w:val="center"/>
                      </w:pPr>
                    </w:p>
                    <w:p>
                      <w:pPr>
                        <w:ind w:firstLine="480"/>
                        <w:jc w:val="center"/>
                      </w:pPr>
                    </w:p>
                    <w:p>
                      <w:pPr>
                        <w:ind w:firstLine="480"/>
                        <w:jc w:val="center"/>
                      </w:pPr>
                      <w:r>
                        <w:rPr>
                          <w:rFonts w:hint="eastAsia"/>
                        </w:rPr>
                        <w:t>法定代表人身份证复印件（正面）</w:t>
                      </w:r>
                    </w:p>
                    <w:p>
                      <w:pPr>
                        <w:ind w:firstLine="480"/>
                        <w:jc w:val="center"/>
                      </w:pPr>
                    </w:p>
                    <w:p>
                      <w:pPr>
                        <w:ind w:firstLine="480"/>
                        <w:jc w:val="center"/>
                      </w:pPr>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3132455</wp:posOffset>
                </wp:positionH>
                <wp:positionV relativeFrom="paragraph">
                  <wp:posOffset>128905</wp:posOffset>
                </wp:positionV>
                <wp:extent cx="2514600" cy="1552575"/>
                <wp:effectExtent l="4445" t="4445" r="14605" b="5080"/>
                <wp:wrapNone/>
                <wp:docPr id="3" name="矩形 15"/>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jc w:val="center"/>
                            </w:pPr>
                          </w:p>
                          <w:p>
                            <w:pPr>
                              <w:ind w:firstLine="480"/>
                              <w:jc w:val="center"/>
                            </w:pPr>
                          </w:p>
                          <w:p>
                            <w:pPr>
                              <w:ind w:firstLine="480"/>
                              <w:jc w:val="center"/>
                            </w:pPr>
                          </w:p>
                          <w:p>
                            <w:pPr>
                              <w:ind w:firstLine="480"/>
                              <w:jc w:val="center"/>
                            </w:pPr>
                            <w:r>
                              <w:rPr>
                                <w:rFonts w:hint="eastAsia"/>
                              </w:rPr>
                              <w:t>法定代表人身份证复印件（反面）</w:t>
                            </w:r>
                          </w:p>
                          <w:p>
                            <w:pPr>
                              <w:ind w:firstLine="480"/>
                              <w:jc w:val="center"/>
                            </w:pPr>
                          </w:p>
                        </w:txbxContent>
                      </wps:txbx>
                      <wps:bodyPr wrap="square" upright="true"/>
                    </wps:wsp>
                  </a:graphicData>
                </a:graphic>
              </wp:anchor>
            </w:drawing>
          </mc:Choice>
          <mc:Fallback>
            <w:pict>
              <v:rect id="矩形 15" o:spid="_x0000_s1026" o:spt="1" style="position:absolute;left:0pt;margin-left:246.65pt;margin-top:10.15pt;height:122.25pt;width:198pt;z-index:251662336;mso-width-relative:page;mso-height-relative:page;" fillcolor="#FFFFFF" filled="t" stroked="t" coordsize="21600,21600" o:gfxdata="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WJrohdcAAAAKAQAADwAAAAAAAAABACAAAAA4&#10;AAAAZHJzL2Rvd25yZXYueG1sUEsBAhQAFAAAAAgAh07iQHkva531AQAA7gMAAA4AAAAAAAAAAQAg&#10;AAAAPAEAAGRycy9lMm9Eb2MueG1sUEsFBgAAAAAGAAYAWQEAAKMFAAAAAA==&#10;">
                <v:fill on="t" focussize="0,0"/>
                <v:stroke color="#000000" joinstyle="miter"/>
                <v:imagedata o:title=""/>
                <o:lock v:ext="edit" aspectratio="f"/>
                <v:textbox>
                  <w:txbxContent>
                    <w:p>
                      <w:pPr>
                        <w:ind w:firstLine="480"/>
                        <w:jc w:val="center"/>
                      </w:pPr>
                    </w:p>
                    <w:p>
                      <w:pPr>
                        <w:ind w:firstLine="480"/>
                        <w:jc w:val="center"/>
                      </w:pPr>
                    </w:p>
                    <w:p>
                      <w:pPr>
                        <w:ind w:firstLine="480"/>
                        <w:jc w:val="center"/>
                      </w:pPr>
                    </w:p>
                    <w:p>
                      <w:pPr>
                        <w:ind w:firstLine="480"/>
                        <w:jc w:val="center"/>
                      </w:pPr>
                      <w:r>
                        <w:rPr>
                          <w:rFonts w:hint="eastAsia"/>
                        </w:rPr>
                        <w:t>法定代表人身份证复印件（反面）</w:t>
                      </w:r>
                    </w:p>
                    <w:p>
                      <w:pPr>
                        <w:ind w:firstLine="480"/>
                        <w:jc w:val="center"/>
                      </w:pPr>
                    </w:p>
                  </w:txbxContent>
                </v:textbox>
              </v:rect>
            </w:pict>
          </mc:Fallback>
        </mc:AlternateContent>
      </w:r>
    </w:p>
    <w:p>
      <w:pPr>
        <w:spacing w:line="360" w:lineRule="auto"/>
        <w:rPr>
          <w:rFonts w:hint="eastAsia" w:ascii="宋体" w:hAnsi="宋体" w:cs="宋体"/>
          <w:sz w:val="24"/>
          <w:szCs w:val="24"/>
        </w:rPr>
      </w:pPr>
    </w:p>
    <w:p>
      <w:pPr>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                      </w:t>
      </w:r>
    </w:p>
    <w:p>
      <w:pPr>
        <w:spacing w:line="360" w:lineRule="auto"/>
        <w:rPr>
          <w:rFonts w:hint="eastAsia" w:ascii="宋体" w:hAnsi="宋体" w:cs="宋体"/>
          <w:color w:val="000000"/>
          <w:sz w:val="24"/>
          <w:szCs w:val="24"/>
        </w:rPr>
      </w:pPr>
    </w:p>
    <w:p>
      <w:pPr>
        <w:spacing w:line="360" w:lineRule="auto"/>
        <w:rPr>
          <w:rFonts w:hint="eastAsia" w:ascii="宋体" w:hAnsi="宋体" w:cs="宋体"/>
          <w:color w:val="000000"/>
          <w:sz w:val="24"/>
          <w:szCs w:val="24"/>
        </w:rPr>
      </w:pPr>
    </w:p>
    <w:p>
      <w:pPr>
        <w:spacing w:line="360" w:lineRule="auto"/>
        <w:ind w:firstLine="480"/>
        <w:rPr>
          <w:rFonts w:hint="eastAsia" w:ascii="宋体" w:hAnsi="宋体" w:cs="宋体"/>
          <w:color w:val="000000"/>
          <w:sz w:val="24"/>
          <w:szCs w:val="24"/>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332105</wp:posOffset>
                </wp:positionH>
                <wp:positionV relativeFrom="paragraph">
                  <wp:posOffset>147955</wp:posOffset>
                </wp:positionV>
                <wp:extent cx="2657475" cy="1552575"/>
                <wp:effectExtent l="4445" t="4445" r="5080" b="5080"/>
                <wp:wrapNone/>
                <wp:docPr id="4" name="矩形 14"/>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jc w:val="center"/>
                            </w:pPr>
                            <w:r>
                              <w:rPr>
                                <w:rFonts w:hint="eastAsia"/>
                              </w:rPr>
                              <w:t>授权代理人身份证复印件（正面）</w:t>
                            </w:r>
                          </w:p>
                        </w:txbxContent>
                      </wps:txbx>
                      <wps:bodyPr wrap="square" upright="true"/>
                    </wps:wsp>
                  </a:graphicData>
                </a:graphic>
              </wp:anchor>
            </w:drawing>
          </mc:Choice>
          <mc:Fallback>
            <w:pict>
              <v:rect id="矩形 14" o:spid="_x0000_s1026" o:spt="1" style="position:absolute;left:0pt;margin-left:26.15pt;margin-top:11.65pt;height:122.25pt;width:209.25pt;z-index:251663360;mso-width-relative:page;mso-height-relative:page;" fillcolor="#FFFFFF" filled="t" stroked="t" coordsize="21600,21600" o:gfxdata="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B8tyE3YAAAACQEAAA8AAAAAAAAAAQAgAAAAOAAA&#10;AGRycy9kb3ducmV2LnhtbFBLAQIUABQAAAAIAIdO4kAjaIav8gEAAO4DAAAOAAAAAAAAAAEAIAAA&#10;AD0BAABkcnMvZTJvRG9jLnhtbFBLBQYAAAAABgAGAFkBAAChBQAAAAA=&#10;">
                <v:fill on="t" focussize="0,0"/>
                <v:stroke color="#000000" joinstyle="miter"/>
                <v:imagedata o:title=""/>
                <o:lock v:ext="edit" aspectratio="f"/>
                <v:textbox>
                  <w:txbxContent>
                    <w:p>
                      <w:pPr>
                        <w:ind w:firstLine="480"/>
                        <w:jc w:val="center"/>
                      </w:pPr>
                      <w:r>
                        <w:rPr>
                          <w:rFonts w:hint="eastAsia"/>
                        </w:rPr>
                        <w:t>授权代理人身份证复印件（正面）</w:t>
                      </w:r>
                    </w:p>
                  </w:txbxContent>
                </v:textbox>
              </v:rect>
            </w:pict>
          </mc:Fallback>
        </mc:AlternateContent>
      </w:r>
      <w:r>
        <w:rPr>
          <w:rFonts w:hint="eastAsia"/>
        </w:rPr>
        <mc:AlternateContent>
          <mc:Choice Requires="wps">
            <w:drawing>
              <wp:anchor distT="0" distB="0" distL="114300" distR="114300" simplePos="0" relativeHeight="251664384" behindDoc="0" locked="0" layoutInCell="1" allowOverlap="1">
                <wp:simplePos x="0" y="0"/>
                <wp:positionH relativeFrom="column">
                  <wp:posOffset>3132455</wp:posOffset>
                </wp:positionH>
                <wp:positionV relativeFrom="paragraph">
                  <wp:posOffset>138430</wp:posOffset>
                </wp:positionV>
                <wp:extent cx="2514600" cy="1552575"/>
                <wp:effectExtent l="4445" t="4445" r="14605" b="5080"/>
                <wp:wrapNone/>
                <wp:docPr id="5" name="矩形 16"/>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jc w:val="center"/>
                            </w:pPr>
                            <w:r>
                              <w:rPr>
                                <w:rFonts w:hint="eastAsia"/>
                              </w:rPr>
                              <w:t>授权代理人身份证复印件（反面）</w:t>
                            </w:r>
                          </w:p>
                        </w:txbxContent>
                      </wps:txbx>
                      <wps:bodyPr wrap="square" upright="true"/>
                    </wps:wsp>
                  </a:graphicData>
                </a:graphic>
              </wp:anchor>
            </w:drawing>
          </mc:Choice>
          <mc:Fallback>
            <w:pict>
              <v:rect id="矩形 16" o:spid="_x0000_s1026" o:spt="1" style="position:absolute;left:0pt;margin-left:246.65pt;margin-top:10.9pt;height:122.25pt;width:198pt;z-index:251664384;mso-width-relative:page;mso-height-relative:page;" fillcolor="#FFFFFF" filled="t" stroked="t" coordsize="21600,21600" o:gfxdata="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BBie7tcAAAAKAQAADwAAAAAAAAABACAAAAA4AAAA&#10;ZHJzL2Rvd25yZXYueG1sUEsBAhQAFAAAAAgAh07iQCWAsnDyAQAA7gMAAA4AAAAAAAAAAQAgAAAA&#10;PAEAAGRycy9lMm9Eb2MueG1sUEsFBgAAAAAGAAYAWQEAAKAFAAAAAA==&#10;">
                <v:fill on="t" focussize="0,0"/>
                <v:stroke color="#000000" joinstyle="miter"/>
                <v:imagedata o:title=""/>
                <o:lock v:ext="edit" aspectratio="f"/>
                <v:textbox>
                  <w:txbxContent>
                    <w:p>
                      <w:pPr>
                        <w:ind w:firstLine="480"/>
                        <w:jc w:val="center"/>
                      </w:pPr>
                      <w:r>
                        <w:rPr>
                          <w:rFonts w:hint="eastAsia"/>
                        </w:rPr>
                        <w:t>授权代理人身份证复印件（反面）</w:t>
                      </w:r>
                    </w:p>
                  </w:txbxContent>
                </v:textbox>
              </v:rect>
            </w:pict>
          </mc:Fallback>
        </mc:AlternateContent>
      </w:r>
    </w:p>
    <w:p>
      <w:pPr>
        <w:spacing w:line="360" w:lineRule="auto"/>
        <w:rPr>
          <w:rFonts w:hint="eastAsia" w:ascii="宋体" w:hAnsi="宋体" w:cs="宋体"/>
          <w:color w:val="000000"/>
          <w:sz w:val="24"/>
          <w:szCs w:val="24"/>
        </w:rPr>
      </w:pPr>
    </w:p>
    <w:p>
      <w:pPr>
        <w:spacing w:line="360" w:lineRule="auto"/>
        <w:rPr>
          <w:rFonts w:hint="eastAsia" w:ascii="宋体" w:hAnsi="宋体" w:cs="宋体"/>
          <w:color w:val="000000"/>
          <w:sz w:val="24"/>
          <w:szCs w:val="24"/>
        </w:rPr>
      </w:pPr>
    </w:p>
    <w:p>
      <w:pPr>
        <w:spacing w:line="360" w:lineRule="auto"/>
        <w:rPr>
          <w:rFonts w:hint="eastAsia" w:ascii="宋体" w:hAnsi="宋体" w:cs="宋体"/>
          <w:color w:val="000000"/>
          <w:sz w:val="24"/>
          <w:szCs w:val="24"/>
        </w:rPr>
      </w:pPr>
    </w:p>
    <w:p>
      <w:pPr>
        <w:pStyle w:val="2"/>
        <w:spacing w:line="360" w:lineRule="auto"/>
      </w:pPr>
    </w:p>
    <w:p>
      <w:pPr>
        <w:spacing w:line="360" w:lineRule="auto"/>
        <w:rPr>
          <w:rFonts w:hint="eastAsia" w:ascii="宋体" w:hAnsi="宋体" w:cs="宋体"/>
          <w:color w:val="000000"/>
          <w:sz w:val="24"/>
          <w:szCs w:val="24"/>
        </w:rPr>
      </w:pP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sz w:val="24"/>
          <w:szCs w:val="24"/>
        </w:rPr>
      </w:pPr>
      <w:r>
        <w:rPr>
          <w:rFonts w:hint="eastAsia" w:ascii="宋体" w:hAnsi="宋体" w:cs="宋体"/>
          <w:sz w:val="24"/>
          <w:szCs w:val="24"/>
        </w:rPr>
        <w:t>单位名称（公章）</w:t>
      </w:r>
      <w:r>
        <w:rPr>
          <w:rFonts w:hint="eastAsia" w:ascii="宋体" w:hAnsi="宋体" w:cs="宋体"/>
          <w:color w:val="000000"/>
          <w:sz w:val="24"/>
          <w:szCs w:val="24"/>
          <w:u w:val="single"/>
        </w:rPr>
        <w:t xml:space="preserve">           </w:t>
      </w:r>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rPr>
        <w:t>法定代表人签字：</w:t>
      </w:r>
      <w:r>
        <w:rPr>
          <w:rFonts w:hint="eastAsia" w:ascii="宋体" w:hAnsi="宋体" w:cs="宋体"/>
          <w:color w:val="000000"/>
          <w:sz w:val="24"/>
          <w:szCs w:val="24"/>
          <w:u w:val="single"/>
        </w:rPr>
        <w:t xml:space="preserve">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授权代理人签字</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p>
    <w:p>
      <w:pPr>
        <w:spacing w:line="360" w:lineRule="auto"/>
        <w:jc w:val="right"/>
        <w:rPr>
          <w:rFonts w:hint="eastAsia" w:ascii="宋体" w:hAnsi="宋体" w:cs="宋体"/>
          <w:color w:val="000000"/>
          <w:sz w:val="24"/>
          <w:szCs w:val="24"/>
        </w:rPr>
      </w:pPr>
      <w:r>
        <w:rPr>
          <w:rFonts w:hint="eastAsia" w:ascii="宋体" w:hAnsi="宋体" w:cs="宋体"/>
          <w:color w:val="000000"/>
          <w:sz w:val="24"/>
          <w:szCs w:val="24"/>
        </w:rPr>
        <w:t xml:space="preserve">                                      年    月     日 </w:t>
      </w:r>
    </w:p>
    <w:p>
      <w:pPr>
        <w:tabs>
          <w:tab w:val="left" w:pos="2361"/>
        </w:tabs>
        <w:spacing w:line="360" w:lineRule="auto"/>
        <w:ind w:firstLine="480"/>
        <w:jc w:val="left"/>
      </w:pPr>
      <w:r>
        <w:rPr>
          <w:rFonts w:hint="eastAsia"/>
        </w:rPr>
        <w:tab/>
      </w:r>
    </w:p>
    <w:sectPr>
      <w:footerReference r:id="rId6" w:type="default"/>
      <w:pgSz w:w="11907" w:h="16840"/>
      <w:pgMar w:top="1025" w:right="1418" w:bottom="1418" w:left="1418" w:header="724" w:footer="851" w:gutter="0"/>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altName w:val="微软雅黑 Light"/>
    <w:panose1 w:val="02040503050406030204"/>
    <w:charset w:val="00"/>
    <w:family w:val="roman"/>
    <w:pitch w:val="default"/>
    <w:sig w:usb0="00000000" w:usb1="00000000"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Cambria Math">
    <w:altName w:val="DejaVu Math TeX Gyre"/>
    <w:panose1 w:val="02040503050406030204"/>
    <w:charset w:val="00"/>
    <w:family w:val="roman"/>
    <w:pitch w:val="default"/>
    <w:sig w:usb0="00000000" w:usb1="00000000"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p>
  <w:p>
    <w:pPr>
      <w:pStyle w:val="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Gn4zeFgIAABkEAAAOAAAAZHJz&#10;L2Uyb0RvYy54bWytU8uO0zAU3SPxD5b3NGkRo07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Bp+M3hYCAAAZBAAADgAAAAAAAAABACAAAAA1AQAAZHJzL2Uyb0RvYy54bWxQSwUGAAAAAAYA&#10;BgBZAQAAvQUAAAAA&#10;">
              <v:fill on="f" focussize="0,0"/>
              <v:stroke on="f" weight="0.5pt"/>
              <v:imagedata o:title=""/>
              <o:lock v:ext="edit" aspectratio="f"/>
              <v:textbox inset="0mm,0mm,0mm,0mm" style="mso-fit-shape-to-text:t;">
                <w:txbxContent>
                  <w:p>
                    <w:pPr>
                      <w:pStyle w:val="48"/>
                    </w:pPr>
                    <w:r>
                      <w:fldChar w:fldCharType="begin"/>
                    </w:r>
                    <w:r>
                      <w:instrText xml:space="preserve"> PAGE  \* MERGEFORMAT </w:instrText>
                    </w:r>
                    <w:r>
                      <w:fldChar w:fldCharType="separate"/>
                    </w:r>
                    <w:r>
                      <w:t>1</w:t>
                    </w:r>
                    <w:r>
                      <w:fldChar w:fldCharType="end"/>
                    </w:r>
                  </w:p>
                </w:txbxContent>
              </v:textbox>
            </v:shape>
          </w:pict>
        </mc:Fallback>
      </mc:AlternateContent>
    </w:r>
    <w:sdt>
      <w:sdtPr>
        <w:id w:val="979579529"/>
        <w:showingPlcHdr/>
      </w:sdtPr>
      <w:sdtContent/>
    </w:sdt>
  </w:p>
  <w:p>
    <w:pPr>
      <w:pStyle w:val="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48"/>
                    </w:pPr>
                    <w:r>
                      <w:fldChar w:fldCharType="begin"/>
                    </w:r>
                    <w:r>
                      <w:instrText xml:space="preserve"> PAGE  \* MERGEFORMAT </w:instrText>
                    </w:r>
                    <w:r>
                      <w:fldChar w:fldCharType="separate"/>
                    </w:r>
                    <w:r>
                      <w:t>1</w:t>
                    </w:r>
                    <w:r>
                      <w:fldChar w:fldCharType="end"/>
                    </w:r>
                  </w:p>
                </w:txbxContent>
              </v:textbox>
            </v:shape>
          </w:pict>
        </mc:Fallback>
      </mc:AlternateContent>
    </w:r>
    <w:sdt>
      <w:sdtPr>
        <w:id w:val="361636912"/>
        <w:showingPlcHdr/>
      </w:sdtPr>
      <w:sdtContent/>
    </w:sdt>
  </w:p>
  <w:p>
    <w:pPr>
      <w:pStyle w:val="4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1"/>
      </w:pBdr>
      <w:ind w:firstLine="360"/>
    </w:pPr>
    <w:r>
      <w:rPr>
        <w:sz w:val="18"/>
      </w:rPr>
      <w:pict>
        <v:shape id="PowerPlusWaterMarkObject7320647" o:spid="_x0000_s2062" o:spt="136" type="#_x0000_t136" style="position:absolute;left:0pt;margin-left:472.35pt;margin-top:414pt;height:14pt;width:129pt;mso-position-horizontal-relative:margin;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path="t" trim="t" xscale="f" string="李谦谦0706952024-10-29" style="font-family:SongTi;font-size:14pt;v-same-letter-heights:f;v-text-align:center;"/>
        </v:shape>
      </w:pict>
    </w:r>
    <w:r>
      <w:rPr>
        <w:sz w:val="18"/>
      </w:rPr>
      <w:pict>
        <v:shape id="PowerPlusWaterMarkObject6368882" o:spid="_x0000_s2061" o:spt="136" type="#_x0000_t136" style="position:absolute;left:0pt;margin-left:359.95pt;margin-top:526.45pt;height:14pt;width:129pt;mso-position-horizontal-relative:margin;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path="t" trim="t" xscale="f" string="李谦谦0706952024-10-29" style="font-family:SongTi;font-size:14pt;v-same-letter-heights:f;v-text-align:center;"/>
        </v:shape>
      </w:pict>
    </w:r>
    <w:r>
      <w:rPr>
        <w:sz w:val="18"/>
      </w:rPr>
      <w:pict>
        <v:shape id="PowerPlusWaterMarkObject5621069" o:spid="_x0000_s2060" o:spt="136" type="#_x0000_t136" style="position:absolute;left:0pt;margin-left:247.5pt;margin-top:638.9pt;height:14pt;width:129pt;mso-position-horizontal-relative:margin;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path="t" trim="t" xscale="f" string="李谦谦0706952024-10-29" style="font-family:SongTi;font-size:14pt;v-same-letter-heights:f;v-text-align:center;"/>
        </v:shape>
      </w:pict>
    </w:r>
    <w:r>
      <w:rPr>
        <w:sz w:val="18"/>
      </w:rPr>
      <w:pict>
        <v:shape id="PowerPlusWaterMarkObject5237314" o:spid="_x0000_s2059" o:spt="136" type="#_x0000_t136" style="position:absolute;left:0pt;margin-left:135.05pt;margin-top:751.3pt;height:14pt;width:129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path="t" trim="t" xscale="f" string="李谦谦0706952024-10-29" style="font-family:SongTi;font-size:14pt;v-same-letter-heights:f;v-text-align:center;"/>
        </v:shape>
      </w:pict>
    </w:r>
    <w:r>
      <w:rPr>
        <w:sz w:val="18"/>
      </w:rPr>
      <w:pict>
        <v:shape id="PowerPlusWaterMarkObject5053687" o:spid="_x0000_s2058" o:spt="136" type="#_x0000_t136" style="position:absolute;left:0pt;margin-left:472.35pt;margin-top:54.7pt;height:14pt;width:129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path="t" trim="t" xscale="f" string="李谦谦0706952024-10-29" style="font-family:SongTi;font-size:14pt;v-same-letter-heights:f;v-text-align:center;"/>
        </v:shape>
      </w:pict>
    </w:r>
    <w:r>
      <w:rPr>
        <w:sz w:val="18"/>
      </w:rPr>
      <w:pict>
        <v:shape id="PowerPlusWaterMarkObject4775117" o:spid="_x0000_s2057" o:spt="136" type="#_x0000_t136" style="position:absolute;left:0pt;margin-left:359.95pt;margin-top:167.1pt;height:14pt;width:129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path="t" trim="t" xscale="f" string="李谦谦0706952024-10-29" style="font-family:SongTi;font-size:14pt;v-same-letter-heights:f;v-text-align:center;"/>
        </v:shape>
      </w:pict>
    </w:r>
    <w:r>
      <w:rPr>
        <w:sz w:val="18"/>
      </w:rPr>
      <w:pict>
        <v:shape id="PowerPlusWaterMarkObject4432077" o:spid="_x0000_s2056" o:spt="136" type="#_x0000_t136" style="position:absolute;left:0pt;margin-left:247.5pt;margin-top:279.55pt;height:14pt;width:129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path="t" trim="t" xscale="f" string="李谦谦0706952024-10-29" style="font-family:SongTi;font-size:14pt;v-same-letter-heights:f;v-text-align:center;"/>
        </v:shape>
      </w:pict>
    </w:r>
    <w:r>
      <w:rPr>
        <w:sz w:val="18"/>
      </w:rPr>
      <w:pict>
        <v:shape id="PowerPlusWaterMarkObject4250540" o:spid="_x0000_s2055" o:spt="136" type="#_x0000_t136" style="position:absolute;left:0pt;margin-left:135.05pt;margin-top:392pt;height:14pt;width:129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path="t" trim="t" xscale="f" string="李谦谦0706952024-10-29" style="font-family:SongTi;font-size:14pt;v-same-letter-heights:f;v-text-align:center;"/>
        </v:shape>
      </w:pict>
    </w:r>
    <w:r>
      <w:rPr>
        <w:sz w:val="18"/>
      </w:rPr>
      <w:pict>
        <v:shape id="PowerPlusWaterMarkObject3503198" o:spid="_x0000_s2054" o:spt="136" type="#_x0000_t136" style="position:absolute;left:0pt;margin-left:22.65pt;margin-top:504.4pt;height:14pt;width:129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path="t" trim="t" xscale="f" string="李谦谦0706952024-10-29" style="font-family:SongTi;font-size:14pt;v-same-letter-heights:f;v-text-align:center;"/>
        </v:shape>
      </w:pict>
    </w:r>
    <w:r>
      <w:rPr>
        <w:sz w:val="18"/>
      </w:rPr>
      <w:pict>
        <v:shape id="PowerPlusWaterMarkObject3141994" o:spid="_x0000_s2053" o:spt="136" type="#_x0000_t136" style="position:absolute;left:0pt;margin-left:-89.8pt;margin-top:616.85pt;height:14pt;width:129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path="t" trim="t" xscale="f" string="李谦谦0706952024-10-29" style="font-family:SongTi;font-size:14pt;v-same-letter-heights:f;v-text-align:center;"/>
        </v:shape>
      </w:pict>
    </w:r>
    <w:r>
      <w:rPr>
        <w:sz w:val="18"/>
      </w:rPr>
      <w:pict>
        <v:shape id="PowerPlusWaterMarkObject2137576" o:spid="_x0000_s2052" o:spt="136" type="#_x0000_t136" style="position:absolute;left:0pt;margin-left:247.5pt;margin-top:-79.8pt;height:14pt;width:129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path="t" trim="t" xscale="f" string="李谦谦0706952024-10-29" style="font-family:SongTi;font-size:14pt;v-same-letter-heights:f;v-text-align:center;"/>
        </v:shape>
      </w:pict>
    </w:r>
    <w:r>
      <w:rPr>
        <w:sz w:val="18"/>
      </w:rPr>
      <w:pict>
        <v:shape id="PowerPlusWaterMarkObject2075196" o:spid="_x0000_s2051" o:spt="136" type="#_x0000_t136" style="position:absolute;left:0pt;margin-left:135.05pt;margin-top:32.65pt;height:14pt;width:129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path="t" trim="t" xscale="f" string="李谦谦0706952024-10-29" style="font-family:SongTi;font-size:14pt;v-same-letter-heights:f;v-text-align:center;"/>
        </v:shape>
      </w:pict>
    </w:r>
    <w:r>
      <w:rPr>
        <w:sz w:val="18"/>
      </w:rPr>
      <w:pict>
        <v:shape id="PowerPlusWaterMarkObject1082169" o:spid="_x0000_s2050" o:spt="136" type="#_x0000_t136" style="position:absolute;left:0pt;margin-left:22.65pt;margin-top:145.05pt;height:14pt;width:129pt;mso-position-horizontal-relative:margin;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path="t" trim="t" xscale="f" string="李谦谦0706952024-10-29" style="font-family:SongTi;font-size:14pt;v-same-letter-heights:f;v-text-align:center;"/>
        </v:shape>
      </w:pict>
    </w:r>
    <w:r>
      <w:rPr>
        <w:sz w:val="18"/>
      </w:rPr>
      <w:pict>
        <v:shape id="PowerPlusWaterMarkObject283357" o:spid="_x0000_s2049" o:spt="136" type="#_x0000_t136" style="position:absolute;left:0pt;margin-left:-89.8pt;margin-top:257.5pt;height:14pt;width:129pt;mso-position-horizontal-relative:margin;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path="t" trim="t" xscale="f" string="李谦谦0706952024-10-29" style="font-family:SongTi;font-size:14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358B0"/>
    <w:multiLevelType w:val="singleLevel"/>
    <w:tmpl w:val="E60358B0"/>
    <w:lvl w:ilvl="0" w:tentative="0">
      <w:start w:val="1"/>
      <w:numFmt w:val="decimal"/>
      <w:suff w:val="nothing"/>
      <w:lvlText w:val="%1、"/>
      <w:lvlJc w:val="left"/>
    </w:lvl>
  </w:abstractNum>
  <w:abstractNum w:abstractNumId="1">
    <w:nsid w:val="047933AF"/>
    <w:multiLevelType w:val="multilevel"/>
    <w:tmpl w:val="047933AF"/>
    <w:lvl w:ilvl="0" w:tentative="0">
      <w:start w:val="1"/>
      <w:numFmt w:val="decimal"/>
      <w:pStyle w:val="72"/>
      <w:lvlText w:val="第%1章"/>
      <w:lvlJc w:val="left"/>
      <w:pPr>
        <w:ind w:left="538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686CC5"/>
    <w:multiLevelType w:val="multilevel"/>
    <w:tmpl w:val="11686CC5"/>
    <w:lvl w:ilvl="0" w:tentative="0">
      <w:start w:val="1"/>
      <w:numFmt w:val="lowerLetter"/>
      <w:lvlText w:val="%1."/>
      <w:lvlJc w:val="left"/>
      <w:pPr>
        <w:ind w:left="991" w:hanging="420"/>
      </w:pPr>
      <w:rPr>
        <w:rFonts w:hint="eastAsia"/>
      </w:rPr>
    </w:lvl>
    <w:lvl w:ilvl="1" w:tentative="0">
      <w:start w:val="1"/>
      <w:numFmt w:val="lowerLetter"/>
      <w:lvlText w:val="%2)"/>
      <w:lvlJc w:val="left"/>
      <w:pPr>
        <w:ind w:left="1411" w:hanging="420"/>
      </w:pPr>
    </w:lvl>
    <w:lvl w:ilvl="2" w:tentative="0">
      <w:start w:val="1"/>
      <w:numFmt w:val="lowerRoman"/>
      <w:lvlText w:val="%3."/>
      <w:lvlJc w:val="right"/>
      <w:pPr>
        <w:ind w:left="1831" w:hanging="420"/>
      </w:pPr>
    </w:lvl>
    <w:lvl w:ilvl="3" w:tentative="0">
      <w:start w:val="1"/>
      <w:numFmt w:val="decimal"/>
      <w:lvlText w:val="%4."/>
      <w:lvlJc w:val="left"/>
      <w:pPr>
        <w:ind w:left="2251" w:hanging="420"/>
      </w:pPr>
    </w:lvl>
    <w:lvl w:ilvl="4" w:tentative="0">
      <w:start w:val="1"/>
      <w:numFmt w:val="lowerLetter"/>
      <w:lvlText w:val="%5)"/>
      <w:lvlJc w:val="left"/>
      <w:pPr>
        <w:ind w:left="2671" w:hanging="420"/>
      </w:pPr>
    </w:lvl>
    <w:lvl w:ilvl="5" w:tentative="0">
      <w:start w:val="1"/>
      <w:numFmt w:val="lowerRoman"/>
      <w:lvlText w:val="%6."/>
      <w:lvlJc w:val="right"/>
      <w:pPr>
        <w:ind w:left="3091" w:hanging="420"/>
      </w:pPr>
    </w:lvl>
    <w:lvl w:ilvl="6" w:tentative="0">
      <w:start w:val="1"/>
      <w:numFmt w:val="decimal"/>
      <w:lvlText w:val="%7."/>
      <w:lvlJc w:val="left"/>
      <w:pPr>
        <w:ind w:left="3511" w:hanging="420"/>
      </w:pPr>
    </w:lvl>
    <w:lvl w:ilvl="7" w:tentative="0">
      <w:start w:val="1"/>
      <w:numFmt w:val="lowerLetter"/>
      <w:lvlText w:val="%8)"/>
      <w:lvlJc w:val="left"/>
      <w:pPr>
        <w:ind w:left="3931" w:hanging="420"/>
      </w:pPr>
    </w:lvl>
    <w:lvl w:ilvl="8" w:tentative="0">
      <w:start w:val="1"/>
      <w:numFmt w:val="lowerRoman"/>
      <w:lvlText w:val="%9."/>
      <w:lvlJc w:val="right"/>
      <w:pPr>
        <w:ind w:left="4351" w:hanging="420"/>
      </w:pPr>
    </w:lvl>
  </w:abstractNum>
  <w:abstractNum w:abstractNumId="3">
    <w:nsid w:val="229F5DE5"/>
    <w:multiLevelType w:val="multilevel"/>
    <w:tmpl w:val="229F5DE5"/>
    <w:lvl w:ilvl="0" w:tentative="0">
      <w:start w:val="3"/>
      <w:numFmt w:val="decimal"/>
      <w:pStyle w:val="42"/>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pStyle w:val="329"/>
      <w:lvlText w:val="%3."/>
      <w:lvlJc w:val="right"/>
      <w:pPr>
        <w:tabs>
          <w:tab w:val="left" w:pos="1260"/>
        </w:tabs>
        <w:ind w:left="1260" w:hanging="420"/>
      </w:pPr>
      <w:rPr>
        <w:rFonts w:cs="Times New Roman"/>
      </w:rPr>
    </w:lvl>
    <w:lvl w:ilvl="3" w:tentative="0">
      <w:start w:val="1"/>
      <w:numFmt w:val="decimal"/>
      <w:pStyle w:val="319"/>
      <w:lvlText w:val="%4."/>
      <w:lvlJc w:val="left"/>
      <w:pPr>
        <w:tabs>
          <w:tab w:val="left" w:pos="1680"/>
        </w:tabs>
        <w:ind w:left="1680" w:hanging="420"/>
      </w:pPr>
      <w:rPr>
        <w:rFonts w:cs="Times New Roman"/>
      </w:rPr>
    </w:lvl>
    <w:lvl w:ilvl="4" w:tentative="0">
      <w:start w:val="1"/>
      <w:numFmt w:val="lowerLetter"/>
      <w:pStyle w:val="318"/>
      <w:lvlText w:val="%5)"/>
      <w:lvlJc w:val="left"/>
      <w:pPr>
        <w:tabs>
          <w:tab w:val="left" w:pos="2100"/>
        </w:tabs>
        <w:ind w:left="2100" w:hanging="420"/>
      </w:pPr>
      <w:rPr>
        <w:rFonts w:cs="Times New Roman"/>
      </w:rPr>
    </w:lvl>
    <w:lvl w:ilvl="5" w:tentative="0">
      <w:start w:val="1"/>
      <w:numFmt w:val="lowerRoman"/>
      <w:pStyle w:val="291"/>
      <w:lvlText w:val="%6."/>
      <w:lvlJc w:val="right"/>
      <w:pPr>
        <w:tabs>
          <w:tab w:val="left" w:pos="2520"/>
        </w:tabs>
        <w:ind w:left="2520" w:hanging="420"/>
      </w:pPr>
      <w:rPr>
        <w:rFonts w:cs="Times New Roman"/>
      </w:rPr>
    </w:lvl>
    <w:lvl w:ilvl="6" w:tentative="0">
      <w:start w:val="1"/>
      <w:numFmt w:val="decimal"/>
      <w:pStyle w:val="232"/>
      <w:lvlText w:val="%7."/>
      <w:lvlJc w:val="left"/>
      <w:pPr>
        <w:tabs>
          <w:tab w:val="left" w:pos="2940"/>
        </w:tabs>
        <w:ind w:left="2940" w:hanging="420"/>
      </w:pPr>
      <w:rPr>
        <w:rFonts w:cs="Times New Roman"/>
      </w:rPr>
    </w:lvl>
    <w:lvl w:ilvl="7" w:tentative="0">
      <w:start w:val="1"/>
      <w:numFmt w:val="lowerLetter"/>
      <w:pStyle w:val="234"/>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25031649"/>
    <w:multiLevelType w:val="multilevel"/>
    <w:tmpl w:val="25031649"/>
    <w:lvl w:ilvl="0" w:tentative="0">
      <w:start w:val="1"/>
      <w:numFmt w:val="bullet"/>
      <w:pStyle w:val="32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6071288"/>
    <w:multiLevelType w:val="multilevel"/>
    <w:tmpl w:val="2607128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default"/>
        <w:sz w:val="28"/>
        <w:szCs w:val="28"/>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28E554A9"/>
    <w:multiLevelType w:val="singleLevel"/>
    <w:tmpl w:val="28E554A9"/>
    <w:lvl w:ilvl="0" w:tentative="0">
      <w:start w:val="1"/>
      <w:numFmt w:val="decimal"/>
      <w:suff w:val="space"/>
      <w:lvlText w:val="(%1)"/>
      <w:lvlJc w:val="left"/>
      <w:pPr>
        <w:tabs>
          <w:tab w:val="left" w:pos="0"/>
        </w:tabs>
        <w:ind w:left="0" w:firstLine="0"/>
      </w:pPr>
      <w:rPr>
        <w:rFonts w:hint="default"/>
        <w:b w:val="0"/>
        <w:bCs/>
      </w:rPr>
    </w:lvl>
  </w:abstractNum>
  <w:abstractNum w:abstractNumId="7">
    <w:nsid w:val="32D71598"/>
    <w:multiLevelType w:val="multilevel"/>
    <w:tmpl w:val="32D71598"/>
    <w:lvl w:ilvl="0" w:tentative="0">
      <w:start w:val="1"/>
      <w:numFmt w:val="decimal"/>
      <w:pStyle w:val="3"/>
      <w:lvlText w:val="%1"/>
      <w:lvlJc w:val="left"/>
      <w:pPr>
        <w:ind w:left="432" w:hanging="432"/>
      </w:pPr>
      <w:rPr>
        <w:rFonts w:hint="eastAsia"/>
      </w:rPr>
    </w:lvl>
    <w:lvl w:ilvl="1" w:tentative="0">
      <w:start w:val="1"/>
      <w:numFmt w:val="decimal"/>
      <w:lvlText w:val="%1.%2"/>
      <w:lvlJc w:val="left"/>
      <w:pPr>
        <w:ind w:left="576" w:hanging="576"/>
      </w:pPr>
      <w:rPr>
        <w:rFonts w:hint="default"/>
        <w:i w:val="0"/>
        <w:iCs w:val="0"/>
        <w:sz w:val="28"/>
        <w:szCs w:val="28"/>
      </w:r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8">
    <w:nsid w:val="545748C0"/>
    <w:multiLevelType w:val="multilevel"/>
    <w:tmpl w:val="545748C0"/>
    <w:lvl w:ilvl="0" w:tentative="0">
      <w:start w:val="1"/>
      <w:numFmt w:val="decimal"/>
      <w:suff w:val="space"/>
      <w:lvlText w:val="(%1)"/>
      <w:lvlJc w:val="left"/>
      <w:pPr>
        <w:ind w:left="0" w:firstLine="0"/>
      </w:pPr>
      <w:rPr>
        <w:rFonts w:hint="default"/>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A023BC0"/>
    <w:multiLevelType w:val="multilevel"/>
    <w:tmpl w:val="5A023BC0"/>
    <w:lvl w:ilvl="0" w:tentative="0">
      <w:start w:val="1"/>
      <w:numFmt w:val="decimal"/>
      <w:suff w:val="space"/>
      <w:lvlText w:val="(%1)"/>
      <w:lvlJc w:val="left"/>
      <w:pPr>
        <w:ind w:left="0" w:firstLine="0"/>
      </w:pPr>
      <w:rPr>
        <w:rFonts w:hint="default"/>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CBF4B38"/>
    <w:multiLevelType w:val="singleLevel"/>
    <w:tmpl w:val="5CBF4B38"/>
    <w:lvl w:ilvl="0" w:tentative="0">
      <w:start w:val="1"/>
      <w:numFmt w:val="bullet"/>
      <w:pStyle w:val="261"/>
      <w:lvlText w:val="-"/>
      <w:lvlJc w:val="left"/>
      <w:pPr>
        <w:tabs>
          <w:tab w:val="left" w:pos="360"/>
        </w:tabs>
        <w:ind w:left="360" w:hanging="360"/>
      </w:pPr>
      <w:rPr>
        <w:sz w:val="16"/>
      </w:rPr>
    </w:lvl>
  </w:abstractNum>
  <w:abstractNum w:abstractNumId="11">
    <w:nsid w:val="5D7A57DD"/>
    <w:multiLevelType w:val="multilevel"/>
    <w:tmpl w:val="5D7A57DD"/>
    <w:lvl w:ilvl="0" w:tentative="0">
      <w:start w:val="1"/>
      <w:numFmt w:val="decimal"/>
      <w:lvlText w:val="%1、"/>
      <w:lvlJc w:val="left"/>
      <w:pPr>
        <w:tabs>
          <w:tab w:val="left" w:pos="840"/>
        </w:tabs>
        <w:ind w:left="840" w:hanging="360"/>
      </w:pPr>
      <w:rPr>
        <w:rFonts w:hint="default"/>
      </w:rPr>
    </w:lvl>
    <w:lvl w:ilvl="1" w:tentative="0">
      <w:start w:val="1"/>
      <w:numFmt w:val="lowerLetter"/>
      <w:pStyle w:val="320"/>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61B40391"/>
    <w:multiLevelType w:val="multilevel"/>
    <w:tmpl w:val="61B40391"/>
    <w:lvl w:ilvl="0" w:tentative="0">
      <w:start w:val="1"/>
      <w:numFmt w:val="lowerLetter"/>
      <w:lvlText w:val="%1."/>
      <w:lvlJc w:val="left"/>
      <w:pPr>
        <w:ind w:left="991" w:hanging="420"/>
      </w:pPr>
      <w:rPr>
        <w:rFonts w:hint="eastAsia"/>
      </w:rPr>
    </w:lvl>
    <w:lvl w:ilvl="1" w:tentative="0">
      <w:start w:val="1"/>
      <w:numFmt w:val="lowerLetter"/>
      <w:lvlText w:val="%2)"/>
      <w:lvlJc w:val="left"/>
      <w:pPr>
        <w:ind w:left="1411" w:hanging="420"/>
      </w:pPr>
    </w:lvl>
    <w:lvl w:ilvl="2" w:tentative="0">
      <w:start w:val="1"/>
      <w:numFmt w:val="lowerRoman"/>
      <w:lvlText w:val="%3."/>
      <w:lvlJc w:val="right"/>
      <w:pPr>
        <w:ind w:left="1831" w:hanging="420"/>
      </w:pPr>
    </w:lvl>
    <w:lvl w:ilvl="3" w:tentative="0">
      <w:start w:val="1"/>
      <w:numFmt w:val="decimal"/>
      <w:lvlText w:val="%4."/>
      <w:lvlJc w:val="left"/>
      <w:pPr>
        <w:ind w:left="2251" w:hanging="420"/>
      </w:pPr>
    </w:lvl>
    <w:lvl w:ilvl="4" w:tentative="0">
      <w:start w:val="1"/>
      <w:numFmt w:val="lowerLetter"/>
      <w:lvlText w:val="%5)"/>
      <w:lvlJc w:val="left"/>
      <w:pPr>
        <w:ind w:left="2671" w:hanging="420"/>
      </w:pPr>
    </w:lvl>
    <w:lvl w:ilvl="5" w:tentative="0">
      <w:start w:val="1"/>
      <w:numFmt w:val="lowerRoman"/>
      <w:lvlText w:val="%6."/>
      <w:lvlJc w:val="right"/>
      <w:pPr>
        <w:ind w:left="3091" w:hanging="420"/>
      </w:pPr>
    </w:lvl>
    <w:lvl w:ilvl="6" w:tentative="0">
      <w:start w:val="1"/>
      <w:numFmt w:val="decimal"/>
      <w:lvlText w:val="%7."/>
      <w:lvlJc w:val="left"/>
      <w:pPr>
        <w:ind w:left="3511" w:hanging="420"/>
      </w:pPr>
    </w:lvl>
    <w:lvl w:ilvl="7" w:tentative="0">
      <w:start w:val="1"/>
      <w:numFmt w:val="lowerLetter"/>
      <w:lvlText w:val="%8)"/>
      <w:lvlJc w:val="left"/>
      <w:pPr>
        <w:ind w:left="3931" w:hanging="420"/>
      </w:pPr>
    </w:lvl>
    <w:lvl w:ilvl="8" w:tentative="0">
      <w:start w:val="1"/>
      <w:numFmt w:val="lowerRoman"/>
      <w:lvlText w:val="%9."/>
      <w:lvlJc w:val="right"/>
      <w:pPr>
        <w:ind w:left="4351" w:hanging="420"/>
      </w:pPr>
    </w:lvl>
  </w:abstractNum>
  <w:abstractNum w:abstractNumId="13">
    <w:nsid w:val="761A0A72"/>
    <w:multiLevelType w:val="multilevel"/>
    <w:tmpl w:val="761A0A72"/>
    <w:lvl w:ilvl="0" w:tentative="0">
      <w:start w:val="1"/>
      <w:numFmt w:val="decimal"/>
      <w:suff w:val="nothing"/>
      <w:lvlText w:val="(%1)"/>
      <w:lvlJc w:val="left"/>
      <w:pPr>
        <w:ind w:left="1696" w:hanging="420"/>
      </w:pPr>
      <w:rPr>
        <w:rFonts w:hint="default"/>
        <w:b w:val="0"/>
        <w:bCs/>
      </w:rPr>
    </w:lvl>
    <w:lvl w:ilvl="1" w:tentative="0">
      <w:start w:val="1"/>
      <w:numFmt w:val="lowerLetter"/>
      <w:lvlText w:val="%2)"/>
      <w:lvlJc w:val="left"/>
      <w:pPr>
        <w:ind w:left="2596" w:hanging="420"/>
      </w:pPr>
    </w:lvl>
    <w:lvl w:ilvl="2" w:tentative="0">
      <w:start w:val="1"/>
      <w:numFmt w:val="lowerRoman"/>
      <w:lvlText w:val="%3."/>
      <w:lvlJc w:val="right"/>
      <w:pPr>
        <w:ind w:left="3016" w:hanging="420"/>
      </w:pPr>
    </w:lvl>
    <w:lvl w:ilvl="3" w:tentative="0">
      <w:start w:val="1"/>
      <w:numFmt w:val="decimal"/>
      <w:lvlText w:val="%4."/>
      <w:lvlJc w:val="left"/>
      <w:pPr>
        <w:ind w:left="3436" w:hanging="420"/>
      </w:pPr>
    </w:lvl>
    <w:lvl w:ilvl="4" w:tentative="0">
      <w:start w:val="1"/>
      <w:numFmt w:val="lowerLetter"/>
      <w:lvlText w:val="%5)"/>
      <w:lvlJc w:val="left"/>
      <w:pPr>
        <w:ind w:left="3856" w:hanging="420"/>
      </w:pPr>
    </w:lvl>
    <w:lvl w:ilvl="5" w:tentative="0">
      <w:start w:val="1"/>
      <w:numFmt w:val="lowerRoman"/>
      <w:lvlText w:val="%6."/>
      <w:lvlJc w:val="right"/>
      <w:pPr>
        <w:ind w:left="4276" w:hanging="420"/>
      </w:pPr>
    </w:lvl>
    <w:lvl w:ilvl="6" w:tentative="0">
      <w:start w:val="1"/>
      <w:numFmt w:val="decimal"/>
      <w:lvlText w:val="%7."/>
      <w:lvlJc w:val="left"/>
      <w:pPr>
        <w:ind w:left="4696" w:hanging="420"/>
      </w:pPr>
    </w:lvl>
    <w:lvl w:ilvl="7" w:tentative="0">
      <w:start w:val="1"/>
      <w:numFmt w:val="lowerLetter"/>
      <w:lvlText w:val="%8)"/>
      <w:lvlJc w:val="left"/>
      <w:pPr>
        <w:ind w:left="5116" w:hanging="420"/>
      </w:pPr>
    </w:lvl>
    <w:lvl w:ilvl="8" w:tentative="0">
      <w:start w:val="1"/>
      <w:numFmt w:val="lowerRoman"/>
      <w:lvlText w:val="%9."/>
      <w:lvlJc w:val="right"/>
      <w:pPr>
        <w:ind w:left="5536" w:hanging="420"/>
      </w:pPr>
    </w:lvl>
  </w:abstractNum>
  <w:abstractNum w:abstractNumId="14">
    <w:nsid w:val="777478E6"/>
    <w:multiLevelType w:val="multilevel"/>
    <w:tmpl w:val="777478E6"/>
    <w:lvl w:ilvl="0" w:tentative="0">
      <w:start w:val="1"/>
      <w:numFmt w:val="decimal"/>
      <w:suff w:val="space"/>
      <w:lvlText w:val="(%1)"/>
      <w:lvlJc w:val="left"/>
      <w:pPr>
        <w:ind w:left="0" w:firstLine="0"/>
      </w:pPr>
      <w:rPr>
        <w:rFonts w:hint="default"/>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F982BE3"/>
    <w:multiLevelType w:val="multilevel"/>
    <w:tmpl w:val="7F982BE3"/>
    <w:lvl w:ilvl="0" w:tentative="0">
      <w:start w:val="1"/>
      <w:numFmt w:val="decimal"/>
      <w:suff w:val="space"/>
      <w:lvlText w:val="(%1)"/>
      <w:lvlJc w:val="left"/>
      <w:pPr>
        <w:ind w:left="0" w:firstLine="0"/>
      </w:pPr>
      <w:rPr>
        <w:rFonts w:hint="default"/>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3"/>
  </w:num>
  <w:num w:numId="3">
    <w:abstractNumId w:val="1"/>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15"/>
  </w:num>
  <w:num w:numId="12">
    <w:abstractNumId w:val="9"/>
  </w:num>
  <w:num w:numId="13">
    <w:abstractNumId w:val="14"/>
  </w:num>
  <w:num w:numId="14">
    <w:abstractNumId w:val="8"/>
  </w:num>
  <w:num w:numId="15">
    <w:abstractNumId w:val="12"/>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HorizontalSpacing w:val="191"/>
  <w:drawingGridVerticalSpacing w:val="145"/>
  <w:noPunctuationKerning w:val="true"/>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jZWI3NzA3Y2QzZDRmYWYxZTFlM2NiNmU0YzJmNmMifQ=="/>
  </w:docVars>
  <w:rsids>
    <w:rsidRoot w:val="00B9162F"/>
    <w:rsid w:val="000009EA"/>
    <w:rsid w:val="00001716"/>
    <w:rsid w:val="00002009"/>
    <w:rsid w:val="00002033"/>
    <w:rsid w:val="00002350"/>
    <w:rsid w:val="000027CE"/>
    <w:rsid w:val="00003D85"/>
    <w:rsid w:val="000053A6"/>
    <w:rsid w:val="00006123"/>
    <w:rsid w:val="000066A8"/>
    <w:rsid w:val="00007080"/>
    <w:rsid w:val="00007373"/>
    <w:rsid w:val="00007867"/>
    <w:rsid w:val="00007958"/>
    <w:rsid w:val="00007F75"/>
    <w:rsid w:val="0001010F"/>
    <w:rsid w:val="000107DF"/>
    <w:rsid w:val="00010B83"/>
    <w:rsid w:val="00010C65"/>
    <w:rsid w:val="00012350"/>
    <w:rsid w:val="00012AD5"/>
    <w:rsid w:val="00012F69"/>
    <w:rsid w:val="0001316F"/>
    <w:rsid w:val="000132D4"/>
    <w:rsid w:val="00013F12"/>
    <w:rsid w:val="00013F6C"/>
    <w:rsid w:val="000145E7"/>
    <w:rsid w:val="000146C2"/>
    <w:rsid w:val="00015085"/>
    <w:rsid w:val="00015188"/>
    <w:rsid w:val="000154D7"/>
    <w:rsid w:val="00015F0B"/>
    <w:rsid w:val="000168D6"/>
    <w:rsid w:val="00016B7F"/>
    <w:rsid w:val="00016FD9"/>
    <w:rsid w:val="00016FFA"/>
    <w:rsid w:val="00017221"/>
    <w:rsid w:val="0001728C"/>
    <w:rsid w:val="00017880"/>
    <w:rsid w:val="000202C1"/>
    <w:rsid w:val="0002130D"/>
    <w:rsid w:val="0002169C"/>
    <w:rsid w:val="000222A2"/>
    <w:rsid w:val="000222C4"/>
    <w:rsid w:val="00022410"/>
    <w:rsid w:val="000230FC"/>
    <w:rsid w:val="00023291"/>
    <w:rsid w:val="000233AD"/>
    <w:rsid w:val="0002350F"/>
    <w:rsid w:val="00023610"/>
    <w:rsid w:val="00023ED5"/>
    <w:rsid w:val="00024366"/>
    <w:rsid w:val="0002456C"/>
    <w:rsid w:val="0002479A"/>
    <w:rsid w:val="00024840"/>
    <w:rsid w:val="00024AB5"/>
    <w:rsid w:val="00024EE4"/>
    <w:rsid w:val="0002506A"/>
    <w:rsid w:val="00025542"/>
    <w:rsid w:val="00026173"/>
    <w:rsid w:val="00026290"/>
    <w:rsid w:val="0002649B"/>
    <w:rsid w:val="00026871"/>
    <w:rsid w:val="00027BB0"/>
    <w:rsid w:val="00031311"/>
    <w:rsid w:val="00031679"/>
    <w:rsid w:val="000318B5"/>
    <w:rsid w:val="000319A9"/>
    <w:rsid w:val="00031F00"/>
    <w:rsid w:val="000329A4"/>
    <w:rsid w:val="00032B55"/>
    <w:rsid w:val="00032BAF"/>
    <w:rsid w:val="00033020"/>
    <w:rsid w:val="00033562"/>
    <w:rsid w:val="0003443A"/>
    <w:rsid w:val="00034C7F"/>
    <w:rsid w:val="00034D65"/>
    <w:rsid w:val="00034DD1"/>
    <w:rsid w:val="00034DE1"/>
    <w:rsid w:val="000350C2"/>
    <w:rsid w:val="000352BA"/>
    <w:rsid w:val="0003571A"/>
    <w:rsid w:val="00035833"/>
    <w:rsid w:val="00035CEB"/>
    <w:rsid w:val="0003624D"/>
    <w:rsid w:val="00036624"/>
    <w:rsid w:val="00036707"/>
    <w:rsid w:val="0003772C"/>
    <w:rsid w:val="00037A2B"/>
    <w:rsid w:val="00037B8E"/>
    <w:rsid w:val="00040F52"/>
    <w:rsid w:val="00041249"/>
    <w:rsid w:val="00041C7D"/>
    <w:rsid w:val="000426F9"/>
    <w:rsid w:val="00042716"/>
    <w:rsid w:val="00042F7C"/>
    <w:rsid w:val="000434AA"/>
    <w:rsid w:val="000435A1"/>
    <w:rsid w:val="00043EA2"/>
    <w:rsid w:val="00043F53"/>
    <w:rsid w:val="0004438B"/>
    <w:rsid w:val="00045274"/>
    <w:rsid w:val="00045404"/>
    <w:rsid w:val="00045774"/>
    <w:rsid w:val="00046208"/>
    <w:rsid w:val="000469FF"/>
    <w:rsid w:val="00046A50"/>
    <w:rsid w:val="00046D8A"/>
    <w:rsid w:val="00046F00"/>
    <w:rsid w:val="00046F1B"/>
    <w:rsid w:val="0004719A"/>
    <w:rsid w:val="000471EC"/>
    <w:rsid w:val="00047582"/>
    <w:rsid w:val="000478F5"/>
    <w:rsid w:val="000503C1"/>
    <w:rsid w:val="000508F9"/>
    <w:rsid w:val="0005095A"/>
    <w:rsid w:val="00050C78"/>
    <w:rsid w:val="000519AB"/>
    <w:rsid w:val="000524A5"/>
    <w:rsid w:val="000525EB"/>
    <w:rsid w:val="00052AAC"/>
    <w:rsid w:val="000533A2"/>
    <w:rsid w:val="00053C01"/>
    <w:rsid w:val="00054386"/>
    <w:rsid w:val="000544A9"/>
    <w:rsid w:val="000546B1"/>
    <w:rsid w:val="0005471B"/>
    <w:rsid w:val="0005476E"/>
    <w:rsid w:val="000549AA"/>
    <w:rsid w:val="00054E4D"/>
    <w:rsid w:val="00054E7E"/>
    <w:rsid w:val="00055043"/>
    <w:rsid w:val="000557E4"/>
    <w:rsid w:val="000557FE"/>
    <w:rsid w:val="000559CF"/>
    <w:rsid w:val="00055BF8"/>
    <w:rsid w:val="000565F7"/>
    <w:rsid w:val="00056BAC"/>
    <w:rsid w:val="00056C57"/>
    <w:rsid w:val="00056E33"/>
    <w:rsid w:val="00060555"/>
    <w:rsid w:val="0006100D"/>
    <w:rsid w:val="0006144D"/>
    <w:rsid w:val="00061AB5"/>
    <w:rsid w:val="00062007"/>
    <w:rsid w:val="0006264A"/>
    <w:rsid w:val="00062ADB"/>
    <w:rsid w:val="00063C89"/>
    <w:rsid w:val="0006425C"/>
    <w:rsid w:val="00064C64"/>
    <w:rsid w:val="000651F7"/>
    <w:rsid w:val="000653D3"/>
    <w:rsid w:val="00065ED1"/>
    <w:rsid w:val="00066012"/>
    <w:rsid w:val="00066261"/>
    <w:rsid w:val="0006648F"/>
    <w:rsid w:val="000668CA"/>
    <w:rsid w:val="00066DEF"/>
    <w:rsid w:val="00067165"/>
    <w:rsid w:val="00067AEC"/>
    <w:rsid w:val="00070205"/>
    <w:rsid w:val="000703B4"/>
    <w:rsid w:val="000706CC"/>
    <w:rsid w:val="00070D6B"/>
    <w:rsid w:val="00070F07"/>
    <w:rsid w:val="000716E2"/>
    <w:rsid w:val="0007186A"/>
    <w:rsid w:val="000719ED"/>
    <w:rsid w:val="00071A6C"/>
    <w:rsid w:val="00072497"/>
    <w:rsid w:val="0007255D"/>
    <w:rsid w:val="00072965"/>
    <w:rsid w:val="00073178"/>
    <w:rsid w:val="000731EE"/>
    <w:rsid w:val="0007345D"/>
    <w:rsid w:val="00073758"/>
    <w:rsid w:val="000737CF"/>
    <w:rsid w:val="00073D5A"/>
    <w:rsid w:val="000749FA"/>
    <w:rsid w:val="0007590B"/>
    <w:rsid w:val="00075D21"/>
    <w:rsid w:val="0007642E"/>
    <w:rsid w:val="0007697F"/>
    <w:rsid w:val="000769BA"/>
    <w:rsid w:val="00076C5A"/>
    <w:rsid w:val="00077566"/>
    <w:rsid w:val="0007764A"/>
    <w:rsid w:val="0007775E"/>
    <w:rsid w:val="00077888"/>
    <w:rsid w:val="0008005E"/>
    <w:rsid w:val="00081462"/>
    <w:rsid w:val="00081F56"/>
    <w:rsid w:val="00081FE6"/>
    <w:rsid w:val="000822B6"/>
    <w:rsid w:val="000823AA"/>
    <w:rsid w:val="000823C8"/>
    <w:rsid w:val="00082719"/>
    <w:rsid w:val="000827EC"/>
    <w:rsid w:val="00082A06"/>
    <w:rsid w:val="0008312C"/>
    <w:rsid w:val="000835DC"/>
    <w:rsid w:val="00083B66"/>
    <w:rsid w:val="00083C98"/>
    <w:rsid w:val="00083E13"/>
    <w:rsid w:val="00084395"/>
    <w:rsid w:val="0008495C"/>
    <w:rsid w:val="0008520E"/>
    <w:rsid w:val="00085895"/>
    <w:rsid w:val="0008607A"/>
    <w:rsid w:val="00086F32"/>
    <w:rsid w:val="00087790"/>
    <w:rsid w:val="00087A0D"/>
    <w:rsid w:val="00087EDB"/>
    <w:rsid w:val="0009000E"/>
    <w:rsid w:val="00090ECE"/>
    <w:rsid w:val="0009162A"/>
    <w:rsid w:val="00092581"/>
    <w:rsid w:val="000925CB"/>
    <w:rsid w:val="00093A61"/>
    <w:rsid w:val="000943A0"/>
    <w:rsid w:val="0009481E"/>
    <w:rsid w:val="00094F8C"/>
    <w:rsid w:val="00095523"/>
    <w:rsid w:val="000955F3"/>
    <w:rsid w:val="00095E42"/>
    <w:rsid w:val="000974FB"/>
    <w:rsid w:val="000A0038"/>
    <w:rsid w:val="000A01B4"/>
    <w:rsid w:val="000A0933"/>
    <w:rsid w:val="000A0AC8"/>
    <w:rsid w:val="000A0D1E"/>
    <w:rsid w:val="000A0EDF"/>
    <w:rsid w:val="000A1162"/>
    <w:rsid w:val="000A11F7"/>
    <w:rsid w:val="000A123A"/>
    <w:rsid w:val="000A153B"/>
    <w:rsid w:val="000A1957"/>
    <w:rsid w:val="000A1A28"/>
    <w:rsid w:val="000A1D61"/>
    <w:rsid w:val="000A22DD"/>
    <w:rsid w:val="000A3066"/>
    <w:rsid w:val="000A30DF"/>
    <w:rsid w:val="000A4279"/>
    <w:rsid w:val="000A43CC"/>
    <w:rsid w:val="000A4E21"/>
    <w:rsid w:val="000A5966"/>
    <w:rsid w:val="000A59D6"/>
    <w:rsid w:val="000A5B54"/>
    <w:rsid w:val="000A6404"/>
    <w:rsid w:val="000A6D07"/>
    <w:rsid w:val="000A738D"/>
    <w:rsid w:val="000A7A27"/>
    <w:rsid w:val="000A7B1B"/>
    <w:rsid w:val="000B05E1"/>
    <w:rsid w:val="000B0837"/>
    <w:rsid w:val="000B0DC1"/>
    <w:rsid w:val="000B15E3"/>
    <w:rsid w:val="000B1AE1"/>
    <w:rsid w:val="000B1E62"/>
    <w:rsid w:val="000B2160"/>
    <w:rsid w:val="000B22F9"/>
    <w:rsid w:val="000B235B"/>
    <w:rsid w:val="000B2D0E"/>
    <w:rsid w:val="000B31E3"/>
    <w:rsid w:val="000B32ED"/>
    <w:rsid w:val="000B33BA"/>
    <w:rsid w:val="000B3B4F"/>
    <w:rsid w:val="000B3C69"/>
    <w:rsid w:val="000B403D"/>
    <w:rsid w:val="000B4242"/>
    <w:rsid w:val="000B4320"/>
    <w:rsid w:val="000B4653"/>
    <w:rsid w:val="000B46A8"/>
    <w:rsid w:val="000B47E5"/>
    <w:rsid w:val="000B499E"/>
    <w:rsid w:val="000B5380"/>
    <w:rsid w:val="000B5F78"/>
    <w:rsid w:val="000B68A8"/>
    <w:rsid w:val="000B6CFE"/>
    <w:rsid w:val="000B6F17"/>
    <w:rsid w:val="000B796D"/>
    <w:rsid w:val="000C0035"/>
    <w:rsid w:val="000C013C"/>
    <w:rsid w:val="000C0C09"/>
    <w:rsid w:val="000C147E"/>
    <w:rsid w:val="000C1482"/>
    <w:rsid w:val="000C176E"/>
    <w:rsid w:val="000C18F5"/>
    <w:rsid w:val="000C22BE"/>
    <w:rsid w:val="000C2810"/>
    <w:rsid w:val="000C290D"/>
    <w:rsid w:val="000C29D9"/>
    <w:rsid w:val="000C2C3A"/>
    <w:rsid w:val="000C321A"/>
    <w:rsid w:val="000C4FDF"/>
    <w:rsid w:val="000C570B"/>
    <w:rsid w:val="000C5CF9"/>
    <w:rsid w:val="000C5F02"/>
    <w:rsid w:val="000C6059"/>
    <w:rsid w:val="000C646F"/>
    <w:rsid w:val="000C6631"/>
    <w:rsid w:val="000C69EA"/>
    <w:rsid w:val="000C6C70"/>
    <w:rsid w:val="000C6C9A"/>
    <w:rsid w:val="000C722B"/>
    <w:rsid w:val="000C7332"/>
    <w:rsid w:val="000C7362"/>
    <w:rsid w:val="000C749A"/>
    <w:rsid w:val="000C771F"/>
    <w:rsid w:val="000C773F"/>
    <w:rsid w:val="000C7D3D"/>
    <w:rsid w:val="000C7D67"/>
    <w:rsid w:val="000C7E61"/>
    <w:rsid w:val="000D04BD"/>
    <w:rsid w:val="000D05AB"/>
    <w:rsid w:val="000D1FBB"/>
    <w:rsid w:val="000D2114"/>
    <w:rsid w:val="000D2284"/>
    <w:rsid w:val="000D2D73"/>
    <w:rsid w:val="000D3C96"/>
    <w:rsid w:val="000D568C"/>
    <w:rsid w:val="000D58DE"/>
    <w:rsid w:val="000D59D3"/>
    <w:rsid w:val="000D688A"/>
    <w:rsid w:val="000D6999"/>
    <w:rsid w:val="000D7221"/>
    <w:rsid w:val="000D7987"/>
    <w:rsid w:val="000E0831"/>
    <w:rsid w:val="000E0C5A"/>
    <w:rsid w:val="000E1280"/>
    <w:rsid w:val="000E1775"/>
    <w:rsid w:val="000E1A51"/>
    <w:rsid w:val="000E2110"/>
    <w:rsid w:val="000E2215"/>
    <w:rsid w:val="000E2509"/>
    <w:rsid w:val="000E2F0D"/>
    <w:rsid w:val="000E30FB"/>
    <w:rsid w:val="000E3179"/>
    <w:rsid w:val="000E3DCB"/>
    <w:rsid w:val="000E402C"/>
    <w:rsid w:val="000E41B2"/>
    <w:rsid w:val="000E446E"/>
    <w:rsid w:val="000E4631"/>
    <w:rsid w:val="000E4698"/>
    <w:rsid w:val="000E4F3D"/>
    <w:rsid w:val="000E512D"/>
    <w:rsid w:val="000E5658"/>
    <w:rsid w:val="000E5982"/>
    <w:rsid w:val="000E60B9"/>
    <w:rsid w:val="000E62A5"/>
    <w:rsid w:val="000E6470"/>
    <w:rsid w:val="000E6715"/>
    <w:rsid w:val="000E6C2C"/>
    <w:rsid w:val="000E72F4"/>
    <w:rsid w:val="000F0B7A"/>
    <w:rsid w:val="000F0DF8"/>
    <w:rsid w:val="000F0E1F"/>
    <w:rsid w:val="000F12D9"/>
    <w:rsid w:val="000F2474"/>
    <w:rsid w:val="000F2666"/>
    <w:rsid w:val="000F2A9B"/>
    <w:rsid w:val="000F2C66"/>
    <w:rsid w:val="000F3224"/>
    <w:rsid w:val="000F329D"/>
    <w:rsid w:val="000F35ED"/>
    <w:rsid w:val="000F36F5"/>
    <w:rsid w:val="000F3A6A"/>
    <w:rsid w:val="000F4A24"/>
    <w:rsid w:val="000F4FD5"/>
    <w:rsid w:val="000F5110"/>
    <w:rsid w:val="000F5767"/>
    <w:rsid w:val="000F5887"/>
    <w:rsid w:val="000F678D"/>
    <w:rsid w:val="000F6E4D"/>
    <w:rsid w:val="000F70F6"/>
    <w:rsid w:val="000F761F"/>
    <w:rsid w:val="000F7936"/>
    <w:rsid w:val="000F7AF9"/>
    <w:rsid w:val="000F7D31"/>
    <w:rsid w:val="000F7E96"/>
    <w:rsid w:val="001001DD"/>
    <w:rsid w:val="00100B8B"/>
    <w:rsid w:val="00100C4E"/>
    <w:rsid w:val="001010D2"/>
    <w:rsid w:val="0010134B"/>
    <w:rsid w:val="0010249F"/>
    <w:rsid w:val="00102687"/>
    <w:rsid w:val="00102AC1"/>
    <w:rsid w:val="00102DD1"/>
    <w:rsid w:val="0010375E"/>
    <w:rsid w:val="00103CD6"/>
    <w:rsid w:val="0010473F"/>
    <w:rsid w:val="00104C7A"/>
    <w:rsid w:val="00104DCF"/>
    <w:rsid w:val="00105030"/>
    <w:rsid w:val="00105095"/>
    <w:rsid w:val="001057FF"/>
    <w:rsid w:val="00105D64"/>
    <w:rsid w:val="00105DFD"/>
    <w:rsid w:val="00106FEC"/>
    <w:rsid w:val="00107135"/>
    <w:rsid w:val="0010722E"/>
    <w:rsid w:val="001077B8"/>
    <w:rsid w:val="0010799E"/>
    <w:rsid w:val="0011018F"/>
    <w:rsid w:val="00110694"/>
    <w:rsid w:val="00110774"/>
    <w:rsid w:val="00110937"/>
    <w:rsid w:val="0011095D"/>
    <w:rsid w:val="00110C5A"/>
    <w:rsid w:val="00111282"/>
    <w:rsid w:val="00111C97"/>
    <w:rsid w:val="00111CE0"/>
    <w:rsid w:val="00111FDB"/>
    <w:rsid w:val="001123B3"/>
    <w:rsid w:val="001125DB"/>
    <w:rsid w:val="001133A6"/>
    <w:rsid w:val="00113636"/>
    <w:rsid w:val="00113767"/>
    <w:rsid w:val="0011397C"/>
    <w:rsid w:val="001139C1"/>
    <w:rsid w:val="00113B8A"/>
    <w:rsid w:val="00113F6B"/>
    <w:rsid w:val="001152B2"/>
    <w:rsid w:val="001157D9"/>
    <w:rsid w:val="00115FCD"/>
    <w:rsid w:val="00116101"/>
    <w:rsid w:val="00116BA9"/>
    <w:rsid w:val="00116CA9"/>
    <w:rsid w:val="0011731A"/>
    <w:rsid w:val="0011740B"/>
    <w:rsid w:val="00117859"/>
    <w:rsid w:val="00117982"/>
    <w:rsid w:val="00117D06"/>
    <w:rsid w:val="00117DC0"/>
    <w:rsid w:val="00120B4D"/>
    <w:rsid w:val="00120FD8"/>
    <w:rsid w:val="001213E1"/>
    <w:rsid w:val="001218A2"/>
    <w:rsid w:val="00121F15"/>
    <w:rsid w:val="001221B5"/>
    <w:rsid w:val="001228D9"/>
    <w:rsid w:val="00122C33"/>
    <w:rsid w:val="00122D7E"/>
    <w:rsid w:val="001233F4"/>
    <w:rsid w:val="00123851"/>
    <w:rsid w:val="00123868"/>
    <w:rsid w:val="00123DEE"/>
    <w:rsid w:val="0012413C"/>
    <w:rsid w:val="001241BC"/>
    <w:rsid w:val="00124260"/>
    <w:rsid w:val="00124649"/>
    <w:rsid w:val="001246EC"/>
    <w:rsid w:val="001247C0"/>
    <w:rsid w:val="001247C3"/>
    <w:rsid w:val="00124BA4"/>
    <w:rsid w:val="00125452"/>
    <w:rsid w:val="00125724"/>
    <w:rsid w:val="00125778"/>
    <w:rsid w:val="0012583B"/>
    <w:rsid w:val="001261B5"/>
    <w:rsid w:val="001261C1"/>
    <w:rsid w:val="00126510"/>
    <w:rsid w:val="001265BF"/>
    <w:rsid w:val="0012679D"/>
    <w:rsid w:val="00126A07"/>
    <w:rsid w:val="001270D7"/>
    <w:rsid w:val="00127B8D"/>
    <w:rsid w:val="00130D1B"/>
    <w:rsid w:val="00131599"/>
    <w:rsid w:val="001315AB"/>
    <w:rsid w:val="00131AA2"/>
    <w:rsid w:val="00131DD7"/>
    <w:rsid w:val="0013224E"/>
    <w:rsid w:val="001322AA"/>
    <w:rsid w:val="00132491"/>
    <w:rsid w:val="0013283F"/>
    <w:rsid w:val="00132A51"/>
    <w:rsid w:val="00132ACC"/>
    <w:rsid w:val="00133114"/>
    <w:rsid w:val="00134044"/>
    <w:rsid w:val="001345AC"/>
    <w:rsid w:val="00134C7A"/>
    <w:rsid w:val="001351CB"/>
    <w:rsid w:val="001352DE"/>
    <w:rsid w:val="00135B5E"/>
    <w:rsid w:val="001362D5"/>
    <w:rsid w:val="00137DB6"/>
    <w:rsid w:val="00140C6D"/>
    <w:rsid w:val="00140E98"/>
    <w:rsid w:val="001413D7"/>
    <w:rsid w:val="00141888"/>
    <w:rsid w:val="00141C46"/>
    <w:rsid w:val="00142789"/>
    <w:rsid w:val="0014283F"/>
    <w:rsid w:val="00142A40"/>
    <w:rsid w:val="00142B0C"/>
    <w:rsid w:val="001435FA"/>
    <w:rsid w:val="00143881"/>
    <w:rsid w:val="001438CA"/>
    <w:rsid w:val="00143A63"/>
    <w:rsid w:val="001449BD"/>
    <w:rsid w:val="001450D8"/>
    <w:rsid w:val="0014535E"/>
    <w:rsid w:val="001455A5"/>
    <w:rsid w:val="00145D2C"/>
    <w:rsid w:val="0014619D"/>
    <w:rsid w:val="0014628E"/>
    <w:rsid w:val="00146504"/>
    <w:rsid w:val="00146C64"/>
    <w:rsid w:val="00146F57"/>
    <w:rsid w:val="00146F63"/>
    <w:rsid w:val="00147FDB"/>
    <w:rsid w:val="00150206"/>
    <w:rsid w:val="001513CC"/>
    <w:rsid w:val="00152328"/>
    <w:rsid w:val="0015252B"/>
    <w:rsid w:val="00152AF2"/>
    <w:rsid w:val="00152E30"/>
    <w:rsid w:val="00153775"/>
    <w:rsid w:val="00153FD7"/>
    <w:rsid w:val="00154064"/>
    <w:rsid w:val="001547FE"/>
    <w:rsid w:val="00156E9B"/>
    <w:rsid w:val="00157AFB"/>
    <w:rsid w:val="00160808"/>
    <w:rsid w:val="00160C5D"/>
    <w:rsid w:val="00160E55"/>
    <w:rsid w:val="0016100E"/>
    <w:rsid w:val="001622AC"/>
    <w:rsid w:val="00162486"/>
    <w:rsid w:val="00162772"/>
    <w:rsid w:val="001629A6"/>
    <w:rsid w:val="0016303B"/>
    <w:rsid w:val="00163172"/>
    <w:rsid w:val="00163459"/>
    <w:rsid w:val="00163628"/>
    <w:rsid w:val="00163B49"/>
    <w:rsid w:val="00163C04"/>
    <w:rsid w:val="00163D37"/>
    <w:rsid w:val="00163E90"/>
    <w:rsid w:val="001640C7"/>
    <w:rsid w:val="001644C7"/>
    <w:rsid w:val="00164A47"/>
    <w:rsid w:val="00164B1B"/>
    <w:rsid w:val="00164EDE"/>
    <w:rsid w:val="00164F10"/>
    <w:rsid w:val="0016641A"/>
    <w:rsid w:val="001665C5"/>
    <w:rsid w:val="001666F2"/>
    <w:rsid w:val="001667A8"/>
    <w:rsid w:val="001669F3"/>
    <w:rsid w:val="00167550"/>
    <w:rsid w:val="00167B95"/>
    <w:rsid w:val="00167F50"/>
    <w:rsid w:val="00170C08"/>
    <w:rsid w:val="00170EF6"/>
    <w:rsid w:val="00171070"/>
    <w:rsid w:val="00171326"/>
    <w:rsid w:val="0017209C"/>
    <w:rsid w:val="00172C8F"/>
    <w:rsid w:val="00173066"/>
    <w:rsid w:val="00173077"/>
    <w:rsid w:val="001737E0"/>
    <w:rsid w:val="0017531D"/>
    <w:rsid w:val="00175D31"/>
    <w:rsid w:val="001762F8"/>
    <w:rsid w:val="00176E34"/>
    <w:rsid w:val="00177455"/>
    <w:rsid w:val="001776E3"/>
    <w:rsid w:val="00180F32"/>
    <w:rsid w:val="0018150E"/>
    <w:rsid w:val="001817D9"/>
    <w:rsid w:val="001822BB"/>
    <w:rsid w:val="00182A99"/>
    <w:rsid w:val="00182CEF"/>
    <w:rsid w:val="00183428"/>
    <w:rsid w:val="00183B7B"/>
    <w:rsid w:val="00183ED5"/>
    <w:rsid w:val="00183F47"/>
    <w:rsid w:val="00184740"/>
    <w:rsid w:val="00185BF7"/>
    <w:rsid w:val="00185C3F"/>
    <w:rsid w:val="00185D32"/>
    <w:rsid w:val="00185E6A"/>
    <w:rsid w:val="00186A6E"/>
    <w:rsid w:val="0018747B"/>
    <w:rsid w:val="00187783"/>
    <w:rsid w:val="00190AFD"/>
    <w:rsid w:val="00190C6A"/>
    <w:rsid w:val="001913C7"/>
    <w:rsid w:val="00191858"/>
    <w:rsid w:val="00192745"/>
    <w:rsid w:val="001927F3"/>
    <w:rsid w:val="001932E2"/>
    <w:rsid w:val="001940C8"/>
    <w:rsid w:val="00194199"/>
    <w:rsid w:val="001949C5"/>
    <w:rsid w:val="00194A8C"/>
    <w:rsid w:val="001952DE"/>
    <w:rsid w:val="001961D2"/>
    <w:rsid w:val="001963DF"/>
    <w:rsid w:val="001968D0"/>
    <w:rsid w:val="00196BEF"/>
    <w:rsid w:val="0019702D"/>
    <w:rsid w:val="00197062"/>
    <w:rsid w:val="001977E1"/>
    <w:rsid w:val="001978C1"/>
    <w:rsid w:val="0019799C"/>
    <w:rsid w:val="00197D63"/>
    <w:rsid w:val="00197F5B"/>
    <w:rsid w:val="001A0275"/>
    <w:rsid w:val="001A073F"/>
    <w:rsid w:val="001A1268"/>
    <w:rsid w:val="001A12CC"/>
    <w:rsid w:val="001A151A"/>
    <w:rsid w:val="001A17DB"/>
    <w:rsid w:val="001A24BD"/>
    <w:rsid w:val="001A26F4"/>
    <w:rsid w:val="001A27F8"/>
    <w:rsid w:val="001A281C"/>
    <w:rsid w:val="001A29CD"/>
    <w:rsid w:val="001A2C60"/>
    <w:rsid w:val="001A3453"/>
    <w:rsid w:val="001A3E4D"/>
    <w:rsid w:val="001A4145"/>
    <w:rsid w:val="001A4A08"/>
    <w:rsid w:val="001A4E1E"/>
    <w:rsid w:val="001A528B"/>
    <w:rsid w:val="001A5629"/>
    <w:rsid w:val="001A5B04"/>
    <w:rsid w:val="001A5D71"/>
    <w:rsid w:val="001A60E7"/>
    <w:rsid w:val="001B035E"/>
    <w:rsid w:val="001B06A9"/>
    <w:rsid w:val="001B0A67"/>
    <w:rsid w:val="001B0B34"/>
    <w:rsid w:val="001B0CD1"/>
    <w:rsid w:val="001B0EF8"/>
    <w:rsid w:val="001B14B7"/>
    <w:rsid w:val="001B1BF3"/>
    <w:rsid w:val="001B2220"/>
    <w:rsid w:val="001B2A48"/>
    <w:rsid w:val="001B33D2"/>
    <w:rsid w:val="001B3E92"/>
    <w:rsid w:val="001B3F1E"/>
    <w:rsid w:val="001B4407"/>
    <w:rsid w:val="001B47AE"/>
    <w:rsid w:val="001B49D5"/>
    <w:rsid w:val="001B50E3"/>
    <w:rsid w:val="001B50E7"/>
    <w:rsid w:val="001B53D4"/>
    <w:rsid w:val="001B5AF3"/>
    <w:rsid w:val="001B5E0B"/>
    <w:rsid w:val="001B65B8"/>
    <w:rsid w:val="001B6B8F"/>
    <w:rsid w:val="001B6B9E"/>
    <w:rsid w:val="001B7537"/>
    <w:rsid w:val="001B7DE3"/>
    <w:rsid w:val="001C021C"/>
    <w:rsid w:val="001C035C"/>
    <w:rsid w:val="001C0403"/>
    <w:rsid w:val="001C08ED"/>
    <w:rsid w:val="001C0ED3"/>
    <w:rsid w:val="001C0F5D"/>
    <w:rsid w:val="001C1689"/>
    <w:rsid w:val="001C253E"/>
    <w:rsid w:val="001C2565"/>
    <w:rsid w:val="001C2F7A"/>
    <w:rsid w:val="001C3504"/>
    <w:rsid w:val="001C3E1F"/>
    <w:rsid w:val="001C3F85"/>
    <w:rsid w:val="001C3FC6"/>
    <w:rsid w:val="001C4120"/>
    <w:rsid w:val="001C44AC"/>
    <w:rsid w:val="001C457E"/>
    <w:rsid w:val="001C4BA9"/>
    <w:rsid w:val="001C4C0C"/>
    <w:rsid w:val="001C4E33"/>
    <w:rsid w:val="001C62C3"/>
    <w:rsid w:val="001C6606"/>
    <w:rsid w:val="001C7789"/>
    <w:rsid w:val="001C7A11"/>
    <w:rsid w:val="001C7C53"/>
    <w:rsid w:val="001C7F81"/>
    <w:rsid w:val="001D051A"/>
    <w:rsid w:val="001D082C"/>
    <w:rsid w:val="001D0EFE"/>
    <w:rsid w:val="001D0FCC"/>
    <w:rsid w:val="001D11C3"/>
    <w:rsid w:val="001D15AA"/>
    <w:rsid w:val="001D1B0C"/>
    <w:rsid w:val="001D22D8"/>
    <w:rsid w:val="001D29B4"/>
    <w:rsid w:val="001D2B40"/>
    <w:rsid w:val="001D34E4"/>
    <w:rsid w:val="001D37AF"/>
    <w:rsid w:val="001D3C19"/>
    <w:rsid w:val="001D411C"/>
    <w:rsid w:val="001D4198"/>
    <w:rsid w:val="001D537F"/>
    <w:rsid w:val="001D5948"/>
    <w:rsid w:val="001D5AF2"/>
    <w:rsid w:val="001D6139"/>
    <w:rsid w:val="001D61E8"/>
    <w:rsid w:val="001D664D"/>
    <w:rsid w:val="001D6C2F"/>
    <w:rsid w:val="001D6EF1"/>
    <w:rsid w:val="001D757E"/>
    <w:rsid w:val="001D79C1"/>
    <w:rsid w:val="001D7FBA"/>
    <w:rsid w:val="001E033E"/>
    <w:rsid w:val="001E052A"/>
    <w:rsid w:val="001E0800"/>
    <w:rsid w:val="001E151A"/>
    <w:rsid w:val="001E1909"/>
    <w:rsid w:val="001E1918"/>
    <w:rsid w:val="001E2183"/>
    <w:rsid w:val="001E24E9"/>
    <w:rsid w:val="001E2C9A"/>
    <w:rsid w:val="001E312A"/>
    <w:rsid w:val="001E3550"/>
    <w:rsid w:val="001E37E0"/>
    <w:rsid w:val="001E37E2"/>
    <w:rsid w:val="001E383E"/>
    <w:rsid w:val="001E3C69"/>
    <w:rsid w:val="001E44B8"/>
    <w:rsid w:val="001E4A64"/>
    <w:rsid w:val="001E5366"/>
    <w:rsid w:val="001E5590"/>
    <w:rsid w:val="001E5AD2"/>
    <w:rsid w:val="001E6265"/>
    <w:rsid w:val="001E656B"/>
    <w:rsid w:val="001E6707"/>
    <w:rsid w:val="001E6816"/>
    <w:rsid w:val="001E6AB5"/>
    <w:rsid w:val="001E77F5"/>
    <w:rsid w:val="001E78C2"/>
    <w:rsid w:val="001F0C63"/>
    <w:rsid w:val="001F1267"/>
    <w:rsid w:val="001F1369"/>
    <w:rsid w:val="001F1496"/>
    <w:rsid w:val="001F14AB"/>
    <w:rsid w:val="001F1EF0"/>
    <w:rsid w:val="001F26FF"/>
    <w:rsid w:val="001F2996"/>
    <w:rsid w:val="001F2FC0"/>
    <w:rsid w:val="001F38E5"/>
    <w:rsid w:val="001F39B8"/>
    <w:rsid w:val="001F4B19"/>
    <w:rsid w:val="001F50D4"/>
    <w:rsid w:val="001F51BA"/>
    <w:rsid w:val="001F5486"/>
    <w:rsid w:val="001F57EA"/>
    <w:rsid w:val="001F5CB8"/>
    <w:rsid w:val="001F5CEA"/>
    <w:rsid w:val="001F5FEE"/>
    <w:rsid w:val="001F6285"/>
    <w:rsid w:val="001F630E"/>
    <w:rsid w:val="001F63CF"/>
    <w:rsid w:val="001F66CC"/>
    <w:rsid w:val="001F6BBD"/>
    <w:rsid w:val="001F6D65"/>
    <w:rsid w:val="001F726F"/>
    <w:rsid w:val="001F7A29"/>
    <w:rsid w:val="001F7BE0"/>
    <w:rsid w:val="002000BE"/>
    <w:rsid w:val="00200377"/>
    <w:rsid w:val="00200570"/>
    <w:rsid w:val="002005CD"/>
    <w:rsid w:val="00201B14"/>
    <w:rsid w:val="00201BEA"/>
    <w:rsid w:val="00201F59"/>
    <w:rsid w:val="00202071"/>
    <w:rsid w:val="00202134"/>
    <w:rsid w:val="0020226E"/>
    <w:rsid w:val="002028F3"/>
    <w:rsid w:val="00202ED1"/>
    <w:rsid w:val="00202F96"/>
    <w:rsid w:val="00203736"/>
    <w:rsid w:val="002039E1"/>
    <w:rsid w:val="00203B27"/>
    <w:rsid w:val="0020430B"/>
    <w:rsid w:val="0020474D"/>
    <w:rsid w:val="0020498A"/>
    <w:rsid w:val="00204DB0"/>
    <w:rsid w:val="0020580B"/>
    <w:rsid w:val="002063A2"/>
    <w:rsid w:val="00206784"/>
    <w:rsid w:val="002067C6"/>
    <w:rsid w:val="00207560"/>
    <w:rsid w:val="00207B53"/>
    <w:rsid w:val="00207DF9"/>
    <w:rsid w:val="00210160"/>
    <w:rsid w:val="00210305"/>
    <w:rsid w:val="002107C3"/>
    <w:rsid w:val="00211418"/>
    <w:rsid w:val="0021144A"/>
    <w:rsid w:val="00211D13"/>
    <w:rsid w:val="0021232A"/>
    <w:rsid w:val="00213274"/>
    <w:rsid w:val="002134B5"/>
    <w:rsid w:val="002138A2"/>
    <w:rsid w:val="00213A15"/>
    <w:rsid w:val="00213DBB"/>
    <w:rsid w:val="00213E5D"/>
    <w:rsid w:val="00214B0F"/>
    <w:rsid w:val="00214C0F"/>
    <w:rsid w:val="0021578F"/>
    <w:rsid w:val="00216087"/>
    <w:rsid w:val="00216C80"/>
    <w:rsid w:val="00216F39"/>
    <w:rsid w:val="002173F2"/>
    <w:rsid w:val="00217439"/>
    <w:rsid w:val="002176D7"/>
    <w:rsid w:val="00217BBC"/>
    <w:rsid w:val="00220680"/>
    <w:rsid w:val="00220AEE"/>
    <w:rsid w:val="00220B53"/>
    <w:rsid w:val="00220ECE"/>
    <w:rsid w:val="0022102D"/>
    <w:rsid w:val="0022269B"/>
    <w:rsid w:val="002235C1"/>
    <w:rsid w:val="002236BA"/>
    <w:rsid w:val="00223A59"/>
    <w:rsid w:val="0022424E"/>
    <w:rsid w:val="0022503A"/>
    <w:rsid w:val="00225628"/>
    <w:rsid w:val="00226485"/>
    <w:rsid w:val="0022662A"/>
    <w:rsid w:val="002266A4"/>
    <w:rsid w:val="00226D27"/>
    <w:rsid w:val="00226EAF"/>
    <w:rsid w:val="00226F6F"/>
    <w:rsid w:val="0022719F"/>
    <w:rsid w:val="002271A9"/>
    <w:rsid w:val="002273C2"/>
    <w:rsid w:val="00227433"/>
    <w:rsid w:val="0022769C"/>
    <w:rsid w:val="00227EB6"/>
    <w:rsid w:val="002300D5"/>
    <w:rsid w:val="002302C1"/>
    <w:rsid w:val="00231D4F"/>
    <w:rsid w:val="00232E5A"/>
    <w:rsid w:val="002336E3"/>
    <w:rsid w:val="00233D86"/>
    <w:rsid w:val="00234096"/>
    <w:rsid w:val="00234180"/>
    <w:rsid w:val="002343FE"/>
    <w:rsid w:val="00234AC7"/>
    <w:rsid w:val="00234BFC"/>
    <w:rsid w:val="00234E2B"/>
    <w:rsid w:val="00234F47"/>
    <w:rsid w:val="00235220"/>
    <w:rsid w:val="00235B45"/>
    <w:rsid w:val="00235D4A"/>
    <w:rsid w:val="00235F99"/>
    <w:rsid w:val="00236353"/>
    <w:rsid w:val="002363CD"/>
    <w:rsid w:val="00236A00"/>
    <w:rsid w:val="0023724C"/>
    <w:rsid w:val="00237336"/>
    <w:rsid w:val="0023788A"/>
    <w:rsid w:val="00237B4C"/>
    <w:rsid w:val="0024004B"/>
    <w:rsid w:val="0024042D"/>
    <w:rsid w:val="0024043A"/>
    <w:rsid w:val="00240CAE"/>
    <w:rsid w:val="00240D0D"/>
    <w:rsid w:val="00241B37"/>
    <w:rsid w:val="002431F3"/>
    <w:rsid w:val="00243AE4"/>
    <w:rsid w:val="00243CC4"/>
    <w:rsid w:val="002442F1"/>
    <w:rsid w:val="002447E4"/>
    <w:rsid w:val="00244DB5"/>
    <w:rsid w:val="00246B7E"/>
    <w:rsid w:val="00246BC1"/>
    <w:rsid w:val="00246C87"/>
    <w:rsid w:val="00246C91"/>
    <w:rsid w:val="00246CB7"/>
    <w:rsid w:val="0024742B"/>
    <w:rsid w:val="002478FA"/>
    <w:rsid w:val="00247981"/>
    <w:rsid w:val="00247E56"/>
    <w:rsid w:val="00247E9B"/>
    <w:rsid w:val="00250688"/>
    <w:rsid w:val="00250BFB"/>
    <w:rsid w:val="00250E7F"/>
    <w:rsid w:val="00251103"/>
    <w:rsid w:val="0025124C"/>
    <w:rsid w:val="00251759"/>
    <w:rsid w:val="00251FB3"/>
    <w:rsid w:val="002520F4"/>
    <w:rsid w:val="0025230F"/>
    <w:rsid w:val="0025237F"/>
    <w:rsid w:val="00252453"/>
    <w:rsid w:val="00252A31"/>
    <w:rsid w:val="00252E84"/>
    <w:rsid w:val="00253166"/>
    <w:rsid w:val="002535F9"/>
    <w:rsid w:val="00253E0D"/>
    <w:rsid w:val="00254292"/>
    <w:rsid w:val="00254949"/>
    <w:rsid w:val="00254BA1"/>
    <w:rsid w:val="00255136"/>
    <w:rsid w:val="00255506"/>
    <w:rsid w:val="002557DF"/>
    <w:rsid w:val="00255845"/>
    <w:rsid w:val="00255C87"/>
    <w:rsid w:val="002561E7"/>
    <w:rsid w:val="002562D8"/>
    <w:rsid w:val="00256CC4"/>
    <w:rsid w:val="0025744E"/>
    <w:rsid w:val="00257548"/>
    <w:rsid w:val="002575A0"/>
    <w:rsid w:val="00257631"/>
    <w:rsid w:val="002605CA"/>
    <w:rsid w:val="0026065A"/>
    <w:rsid w:val="00260A68"/>
    <w:rsid w:val="00260DD3"/>
    <w:rsid w:val="00260E32"/>
    <w:rsid w:val="00261181"/>
    <w:rsid w:val="00261219"/>
    <w:rsid w:val="00261596"/>
    <w:rsid w:val="0026167A"/>
    <w:rsid w:val="00261C91"/>
    <w:rsid w:val="0026210B"/>
    <w:rsid w:val="002627A4"/>
    <w:rsid w:val="002628F2"/>
    <w:rsid w:val="00262D3B"/>
    <w:rsid w:val="00262D5A"/>
    <w:rsid w:val="00262E1D"/>
    <w:rsid w:val="00262F07"/>
    <w:rsid w:val="0026318A"/>
    <w:rsid w:val="00263232"/>
    <w:rsid w:val="0026437A"/>
    <w:rsid w:val="00264D14"/>
    <w:rsid w:val="00265738"/>
    <w:rsid w:val="00265B94"/>
    <w:rsid w:val="00266318"/>
    <w:rsid w:val="0026679A"/>
    <w:rsid w:val="00270141"/>
    <w:rsid w:val="0027042A"/>
    <w:rsid w:val="002705BC"/>
    <w:rsid w:val="00270EC3"/>
    <w:rsid w:val="002714DE"/>
    <w:rsid w:val="0027155E"/>
    <w:rsid w:val="00271688"/>
    <w:rsid w:val="002726D9"/>
    <w:rsid w:val="0027301B"/>
    <w:rsid w:val="0027378A"/>
    <w:rsid w:val="0027382D"/>
    <w:rsid w:val="00273B74"/>
    <w:rsid w:val="00273DDE"/>
    <w:rsid w:val="00273EA1"/>
    <w:rsid w:val="002744D1"/>
    <w:rsid w:val="00274552"/>
    <w:rsid w:val="00274FB7"/>
    <w:rsid w:val="00275D73"/>
    <w:rsid w:val="00275F0B"/>
    <w:rsid w:val="00276186"/>
    <w:rsid w:val="002800B2"/>
    <w:rsid w:val="002800FD"/>
    <w:rsid w:val="002804F5"/>
    <w:rsid w:val="002805E8"/>
    <w:rsid w:val="00280B45"/>
    <w:rsid w:val="002817EC"/>
    <w:rsid w:val="00281842"/>
    <w:rsid w:val="00281B95"/>
    <w:rsid w:val="00281CD0"/>
    <w:rsid w:val="00281E03"/>
    <w:rsid w:val="00282C40"/>
    <w:rsid w:val="00283598"/>
    <w:rsid w:val="00283AEB"/>
    <w:rsid w:val="00283ECE"/>
    <w:rsid w:val="00284142"/>
    <w:rsid w:val="00284199"/>
    <w:rsid w:val="0028427C"/>
    <w:rsid w:val="00284BC2"/>
    <w:rsid w:val="00285703"/>
    <w:rsid w:val="0028702F"/>
    <w:rsid w:val="002872F0"/>
    <w:rsid w:val="00287408"/>
    <w:rsid w:val="002878F2"/>
    <w:rsid w:val="00287B6C"/>
    <w:rsid w:val="00290040"/>
    <w:rsid w:val="002907F4"/>
    <w:rsid w:val="00290A6C"/>
    <w:rsid w:val="0029101A"/>
    <w:rsid w:val="002912AE"/>
    <w:rsid w:val="0029135F"/>
    <w:rsid w:val="002913D6"/>
    <w:rsid w:val="00291921"/>
    <w:rsid w:val="00291E5F"/>
    <w:rsid w:val="0029236F"/>
    <w:rsid w:val="00292DAA"/>
    <w:rsid w:val="00292EFF"/>
    <w:rsid w:val="00294522"/>
    <w:rsid w:val="002954B5"/>
    <w:rsid w:val="00295DCA"/>
    <w:rsid w:val="00295E1B"/>
    <w:rsid w:val="00297308"/>
    <w:rsid w:val="0029788B"/>
    <w:rsid w:val="002979AC"/>
    <w:rsid w:val="00297B35"/>
    <w:rsid w:val="00297D12"/>
    <w:rsid w:val="002A06A6"/>
    <w:rsid w:val="002A0DDB"/>
    <w:rsid w:val="002A120F"/>
    <w:rsid w:val="002A13A3"/>
    <w:rsid w:val="002A186D"/>
    <w:rsid w:val="002A2135"/>
    <w:rsid w:val="002A2318"/>
    <w:rsid w:val="002A2C00"/>
    <w:rsid w:val="002A41BF"/>
    <w:rsid w:val="002A4226"/>
    <w:rsid w:val="002A47CB"/>
    <w:rsid w:val="002A48D3"/>
    <w:rsid w:val="002A4995"/>
    <w:rsid w:val="002A4B9E"/>
    <w:rsid w:val="002A4F22"/>
    <w:rsid w:val="002A55FD"/>
    <w:rsid w:val="002A5D00"/>
    <w:rsid w:val="002A62AD"/>
    <w:rsid w:val="002A6D30"/>
    <w:rsid w:val="002A6E12"/>
    <w:rsid w:val="002A72D4"/>
    <w:rsid w:val="002A7A48"/>
    <w:rsid w:val="002B0015"/>
    <w:rsid w:val="002B1052"/>
    <w:rsid w:val="002B1D5B"/>
    <w:rsid w:val="002B2087"/>
    <w:rsid w:val="002B2227"/>
    <w:rsid w:val="002B27FB"/>
    <w:rsid w:val="002B2D2E"/>
    <w:rsid w:val="002B3378"/>
    <w:rsid w:val="002B415D"/>
    <w:rsid w:val="002B44DB"/>
    <w:rsid w:val="002B47BD"/>
    <w:rsid w:val="002B4852"/>
    <w:rsid w:val="002B4FD4"/>
    <w:rsid w:val="002B51F3"/>
    <w:rsid w:val="002B51F7"/>
    <w:rsid w:val="002B58E4"/>
    <w:rsid w:val="002B5CC6"/>
    <w:rsid w:val="002B6244"/>
    <w:rsid w:val="002B643B"/>
    <w:rsid w:val="002B6567"/>
    <w:rsid w:val="002B68E3"/>
    <w:rsid w:val="002B6BB2"/>
    <w:rsid w:val="002B71BA"/>
    <w:rsid w:val="002B7F28"/>
    <w:rsid w:val="002C02A8"/>
    <w:rsid w:val="002C15A3"/>
    <w:rsid w:val="002C1BB2"/>
    <w:rsid w:val="002C2074"/>
    <w:rsid w:val="002C20B5"/>
    <w:rsid w:val="002C2157"/>
    <w:rsid w:val="002C21D2"/>
    <w:rsid w:val="002C22CF"/>
    <w:rsid w:val="002C265D"/>
    <w:rsid w:val="002C2AA3"/>
    <w:rsid w:val="002C3D0B"/>
    <w:rsid w:val="002C3F37"/>
    <w:rsid w:val="002C4143"/>
    <w:rsid w:val="002C42A3"/>
    <w:rsid w:val="002C4344"/>
    <w:rsid w:val="002C4376"/>
    <w:rsid w:val="002C4C6C"/>
    <w:rsid w:val="002C4E58"/>
    <w:rsid w:val="002C504E"/>
    <w:rsid w:val="002C5A87"/>
    <w:rsid w:val="002C5D1C"/>
    <w:rsid w:val="002C6590"/>
    <w:rsid w:val="002C68E7"/>
    <w:rsid w:val="002C6921"/>
    <w:rsid w:val="002C6937"/>
    <w:rsid w:val="002C70D9"/>
    <w:rsid w:val="002C795D"/>
    <w:rsid w:val="002C7BA6"/>
    <w:rsid w:val="002C7FC4"/>
    <w:rsid w:val="002D016F"/>
    <w:rsid w:val="002D03EE"/>
    <w:rsid w:val="002D0F97"/>
    <w:rsid w:val="002D1692"/>
    <w:rsid w:val="002D1720"/>
    <w:rsid w:val="002D23B8"/>
    <w:rsid w:val="002D3D57"/>
    <w:rsid w:val="002D43B5"/>
    <w:rsid w:val="002D4F03"/>
    <w:rsid w:val="002D5DE9"/>
    <w:rsid w:val="002D6005"/>
    <w:rsid w:val="002D606F"/>
    <w:rsid w:val="002D61F6"/>
    <w:rsid w:val="002D652C"/>
    <w:rsid w:val="002D6719"/>
    <w:rsid w:val="002D6CE6"/>
    <w:rsid w:val="002D7084"/>
    <w:rsid w:val="002D7668"/>
    <w:rsid w:val="002D779E"/>
    <w:rsid w:val="002E0291"/>
    <w:rsid w:val="002E08F6"/>
    <w:rsid w:val="002E10C5"/>
    <w:rsid w:val="002E1435"/>
    <w:rsid w:val="002E1FDD"/>
    <w:rsid w:val="002E26B8"/>
    <w:rsid w:val="002E3027"/>
    <w:rsid w:val="002E356E"/>
    <w:rsid w:val="002E3D2C"/>
    <w:rsid w:val="002E444A"/>
    <w:rsid w:val="002E5119"/>
    <w:rsid w:val="002E52DE"/>
    <w:rsid w:val="002E54CF"/>
    <w:rsid w:val="002E55F7"/>
    <w:rsid w:val="002E583E"/>
    <w:rsid w:val="002E5A27"/>
    <w:rsid w:val="002E714A"/>
    <w:rsid w:val="002E79F8"/>
    <w:rsid w:val="002E7AA0"/>
    <w:rsid w:val="002E7BC9"/>
    <w:rsid w:val="002F0B18"/>
    <w:rsid w:val="002F1133"/>
    <w:rsid w:val="002F1736"/>
    <w:rsid w:val="002F1F0C"/>
    <w:rsid w:val="002F21AD"/>
    <w:rsid w:val="002F22EF"/>
    <w:rsid w:val="002F33EF"/>
    <w:rsid w:val="002F355C"/>
    <w:rsid w:val="002F3E02"/>
    <w:rsid w:val="002F42C9"/>
    <w:rsid w:val="002F4446"/>
    <w:rsid w:val="002F50F0"/>
    <w:rsid w:val="002F5200"/>
    <w:rsid w:val="002F5557"/>
    <w:rsid w:val="002F578B"/>
    <w:rsid w:val="002F5A1A"/>
    <w:rsid w:val="002F5D49"/>
    <w:rsid w:val="002F61A9"/>
    <w:rsid w:val="002F6314"/>
    <w:rsid w:val="002F648E"/>
    <w:rsid w:val="002F712D"/>
    <w:rsid w:val="002F72BC"/>
    <w:rsid w:val="002F7E71"/>
    <w:rsid w:val="0030018E"/>
    <w:rsid w:val="00300333"/>
    <w:rsid w:val="00300579"/>
    <w:rsid w:val="00300ABE"/>
    <w:rsid w:val="00300CB9"/>
    <w:rsid w:val="003016F4"/>
    <w:rsid w:val="0030190D"/>
    <w:rsid w:val="00301D91"/>
    <w:rsid w:val="00302258"/>
    <w:rsid w:val="00302848"/>
    <w:rsid w:val="00302BDA"/>
    <w:rsid w:val="00302E6C"/>
    <w:rsid w:val="00304B27"/>
    <w:rsid w:val="00304F46"/>
    <w:rsid w:val="00305193"/>
    <w:rsid w:val="00306069"/>
    <w:rsid w:val="00306423"/>
    <w:rsid w:val="00307130"/>
    <w:rsid w:val="00307A48"/>
    <w:rsid w:val="00307DF2"/>
    <w:rsid w:val="00310027"/>
    <w:rsid w:val="0031079E"/>
    <w:rsid w:val="00310969"/>
    <w:rsid w:val="00310EB7"/>
    <w:rsid w:val="00311055"/>
    <w:rsid w:val="003114A7"/>
    <w:rsid w:val="00311698"/>
    <w:rsid w:val="003116FE"/>
    <w:rsid w:val="003125BF"/>
    <w:rsid w:val="0031280D"/>
    <w:rsid w:val="00312F4A"/>
    <w:rsid w:val="0031347A"/>
    <w:rsid w:val="00313907"/>
    <w:rsid w:val="00313E0D"/>
    <w:rsid w:val="00313F08"/>
    <w:rsid w:val="003147DA"/>
    <w:rsid w:val="003159D9"/>
    <w:rsid w:val="00315CE0"/>
    <w:rsid w:val="00316070"/>
    <w:rsid w:val="0031658A"/>
    <w:rsid w:val="00316A44"/>
    <w:rsid w:val="003172EF"/>
    <w:rsid w:val="00317C5F"/>
    <w:rsid w:val="00317C9C"/>
    <w:rsid w:val="00320373"/>
    <w:rsid w:val="0032069B"/>
    <w:rsid w:val="00321080"/>
    <w:rsid w:val="0032138D"/>
    <w:rsid w:val="003214D3"/>
    <w:rsid w:val="0032154E"/>
    <w:rsid w:val="00321641"/>
    <w:rsid w:val="003219AA"/>
    <w:rsid w:val="00321FAB"/>
    <w:rsid w:val="003227B7"/>
    <w:rsid w:val="003229D0"/>
    <w:rsid w:val="00322A0E"/>
    <w:rsid w:val="00323F4A"/>
    <w:rsid w:val="003243D2"/>
    <w:rsid w:val="003243FF"/>
    <w:rsid w:val="0032467F"/>
    <w:rsid w:val="00324C4F"/>
    <w:rsid w:val="00324F3A"/>
    <w:rsid w:val="00325400"/>
    <w:rsid w:val="003256B1"/>
    <w:rsid w:val="00325939"/>
    <w:rsid w:val="00325BFF"/>
    <w:rsid w:val="00325ED7"/>
    <w:rsid w:val="00326258"/>
    <w:rsid w:val="00327A6B"/>
    <w:rsid w:val="00327B84"/>
    <w:rsid w:val="00327F2C"/>
    <w:rsid w:val="00330E47"/>
    <w:rsid w:val="00330F0A"/>
    <w:rsid w:val="003312C2"/>
    <w:rsid w:val="00331EEA"/>
    <w:rsid w:val="0033284F"/>
    <w:rsid w:val="00332900"/>
    <w:rsid w:val="00332F77"/>
    <w:rsid w:val="00333500"/>
    <w:rsid w:val="00333803"/>
    <w:rsid w:val="00333EAF"/>
    <w:rsid w:val="00334653"/>
    <w:rsid w:val="003347BB"/>
    <w:rsid w:val="00334854"/>
    <w:rsid w:val="00334A0C"/>
    <w:rsid w:val="00335094"/>
    <w:rsid w:val="0033520C"/>
    <w:rsid w:val="0033549E"/>
    <w:rsid w:val="003359D4"/>
    <w:rsid w:val="00335B1C"/>
    <w:rsid w:val="0033611F"/>
    <w:rsid w:val="00336C6C"/>
    <w:rsid w:val="00337216"/>
    <w:rsid w:val="0033737B"/>
    <w:rsid w:val="003375F9"/>
    <w:rsid w:val="003409F2"/>
    <w:rsid w:val="0034107E"/>
    <w:rsid w:val="00341689"/>
    <w:rsid w:val="003416F4"/>
    <w:rsid w:val="00341831"/>
    <w:rsid w:val="00341CE1"/>
    <w:rsid w:val="00341EE1"/>
    <w:rsid w:val="00341EE6"/>
    <w:rsid w:val="003426C6"/>
    <w:rsid w:val="00342D16"/>
    <w:rsid w:val="00343C96"/>
    <w:rsid w:val="00344029"/>
    <w:rsid w:val="00344136"/>
    <w:rsid w:val="003445AF"/>
    <w:rsid w:val="003447F9"/>
    <w:rsid w:val="003449A5"/>
    <w:rsid w:val="00345334"/>
    <w:rsid w:val="003453D2"/>
    <w:rsid w:val="0034553C"/>
    <w:rsid w:val="00345CDC"/>
    <w:rsid w:val="00345D26"/>
    <w:rsid w:val="00345FFF"/>
    <w:rsid w:val="00346A2F"/>
    <w:rsid w:val="00346D01"/>
    <w:rsid w:val="00347775"/>
    <w:rsid w:val="0034790C"/>
    <w:rsid w:val="00347D1C"/>
    <w:rsid w:val="00350289"/>
    <w:rsid w:val="003505D3"/>
    <w:rsid w:val="00350E65"/>
    <w:rsid w:val="00350F71"/>
    <w:rsid w:val="003512BF"/>
    <w:rsid w:val="0035297A"/>
    <w:rsid w:val="00352D9D"/>
    <w:rsid w:val="003531E6"/>
    <w:rsid w:val="00353A9F"/>
    <w:rsid w:val="00353E41"/>
    <w:rsid w:val="00355029"/>
    <w:rsid w:val="00355331"/>
    <w:rsid w:val="003558A2"/>
    <w:rsid w:val="003558CB"/>
    <w:rsid w:val="00355A8D"/>
    <w:rsid w:val="00355D8B"/>
    <w:rsid w:val="00355FAD"/>
    <w:rsid w:val="0035622D"/>
    <w:rsid w:val="0035639A"/>
    <w:rsid w:val="003563BF"/>
    <w:rsid w:val="00356C67"/>
    <w:rsid w:val="00356F36"/>
    <w:rsid w:val="00357A41"/>
    <w:rsid w:val="00357B85"/>
    <w:rsid w:val="00357EE5"/>
    <w:rsid w:val="00360678"/>
    <w:rsid w:val="0036122E"/>
    <w:rsid w:val="00361381"/>
    <w:rsid w:val="0036148F"/>
    <w:rsid w:val="0036157F"/>
    <w:rsid w:val="00361765"/>
    <w:rsid w:val="003620FA"/>
    <w:rsid w:val="00362D65"/>
    <w:rsid w:val="00363075"/>
    <w:rsid w:val="00363499"/>
    <w:rsid w:val="0036381F"/>
    <w:rsid w:val="0036391E"/>
    <w:rsid w:val="00363A9B"/>
    <w:rsid w:val="00363DDC"/>
    <w:rsid w:val="00364655"/>
    <w:rsid w:val="00364D0E"/>
    <w:rsid w:val="00364DEC"/>
    <w:rsid w:val="00365553"/>
    <w:rsid w:val="0036590D"/>
    <w:rsid w:val="00366515"/>
    <w:rsid w:val="00366C50"/>
    <w:rsid w:val="00367461"/>
    <w:rsid w:val="00367535"/>
    <w:rsid w:val="00367595"/>
    <w:rsid w:val="003677C2"/>
    <w:rsid w:val="00367F2A"/>
    <w:rsid w:val="00370177"/>
    <w:rsid w:val="0037024E"/>
    <w:rsid w:val="003706FE"/>
    <w:rsid w:val="00370797"/>
    <w:rsid w:val="00370B2F"/>
    <w:rsid w:val="0037162B"/>
    <w:rsid w:val="003721D3"/>
    <w:rsid w:val="003731C4"/>
    <w:rsid w:val="003733C6"/>
    <w:rsid w:val="00374131"/>
    <w:rsid w:val="00374343"/>
    <w:rsid w:val="00374445"/>
    <w:rsid w:val="00374584"/>
    <w:rsid w:val="00374629"/>
    <w:rsid w:val="00374657"/>
    <w:rsid w:val="00374827"/>
    <w:rsid w:val="003748E5"/>
    <w:rsid w:val="00374D51"/>
    <w:rsid w:val="00375A6E"/>
    <w:rsid w:val="00375DB4"/>
    <w:rsid w:val="003762A6"/>
    <w:rsid w:val="00376984"/>
    <w:rsid w:val="00376AAC"/>
    <w:rsid w:val="00376B13"/>
    <w:rsid w:val="003775FC"/>
    <w:rsid w:val="0037786C"/>
    <w:rsid w:val="003779FF"/>
    <w:rsid w:val="00377D56"/>
    <w:rsid w:val="003807B9"/>
    <w:rsid w:val="00380928"/>
    <w:rsid w:val="00380CAC"/>
    <w:rsid w:val="00380E73"/>
    <w:rsid w:val="003819C0"/>
    <w:rsid w:val="00381C7E"/>
    <w:rsid w:val="00381FAF"/>
    <w:rsid w:val="0038214B"/>
    <w:rsid w:val="00382192"/>
    <w:rsid w:val="00382FA7"/>
    <w:rsid w:val="003832BC"/>
    <w:rsid w:val="0038337A"/>
    <w:rsid w:val="00383766"/>
    <w:rsid w:val="003839A2"/>
    <w:rsid w:val="003847B0"/>
    <w:rsid w:val="00384DFB"/>
    <w:rsid w:val="00385DF1"/>
    <w:rsid w:val="0038616A"/>
    <w:rsid w:val="00386464"/>
    <w:rsid w:val="00386A77"/>
    <w:rsid w:val="00386B56"/>
    <w:rsid w:val="00386D17"/>
    <w:rsid w:val="00387003"/>
    <w:rsid w:val="00387A8C"/>
    <w:rsid w:val="00387B23"/>
    <w:rsid w:val="00387F8D"/>
    <w:rsid w:val="003906C3"/>
    <w:rsid w:val="00390B46"/>
    <w:rsid w:val="0039148A"/>
    <w:rsid w:val="00391593"/>
    <w:rsid w:val="003923B0"/>
    <w:rsid w:val="0039241D"/>
    <w:rsid w:val="0039268E"/>
    <w:rsid w:val="00392D7A"/>
    <w:rsid w:val="00392FAE"/>
    <w:rsid w:val="003935F8"/>
    <w:rsid w:val="003938FF"/>
    <w:rsid w:val="00393C99"/>
    <w:rsid w:val="00393D21"/>
    <w:rsid w:val="00394C6D"/>
    <w:rsid w:val="00394C8F"/>
    <w:rsid w:val="00395A73"/>
    <w:rsid w:val="00395B63"/>
    <w:rsid w:val="00395B84"/>
    <w:rsid w:val="00396237"/>
    <w:rsid w:val="00396309"/>
    <w:rsid w:val="003A0192"/>
    <w:rsid w:val="003A0B45"/>
    <w:rsid w:val="003A0D68"/>
    <w:rsid w:val="003A0FFE"/>
    <w:rsid w:val="003A1758"/>
    <w:rsid w:val="003A2527"/>
    <w:rsid w:val="003A257C"/>
    <w:rsid w:val="003A2725"/>
    <w:rsid w:val="003A4E3E"/>
    <w:rsid w:val="003A4E76"/>
    <w:rsid w:val="003A5DDB"/>
    <w:rsid w:val="003A5F29"/>
    <w:rsid w:val="003A61B9"/>
    <w:rsid w:val="003A62A6"/>
    <w:rsid w:val="003A6977"/>
    <w:rsid w:val="003A6BC0"/>
    <w:rsid w:val="003A6EB3"/>
    <w:rsid w:val="003A6F60"/>
    <w:rsid w:val="003A71A8"/>
    <w:rsid w:val="003A741A"/>
    <w:rsid w:val="003A77BA"/>
    <w:rsid w:val="003A77E4"/>
    <w:rsid w:val="003A7A06"/>
    <w:rsid w:val="003A7B86"/>
    <w:rsid w:val="003B009D"/>
    <w:rsid w:val="003B0AB1"/>
    <w:rsid w:val="003B0DCC"/>
    <w:rsid w:val="003B0EFE"/>
    <w:rsid w:val="003B1411"/>
    <w:rsid w:val="003B1E0E"/>
    <w:rsid w:val="003B21E0"/>
    <w:rsid w:val="003B2ACA"/>
    <w:rsid w:val="003B332A"/>
    <w:rsid w:val="003B3FB1"/>
    <w:rsid w:val="003B4055"/>
    <w:rsid w:val="003B4A54"/>
    <w:rsid w:val="003B4ACE"/>
    <w:rsid w:val="003B4BA0"/>
    <w:rsid w:val="003B5259"/>
    <w:rsid w:val="003B5405"/>
    <w:rsid w:val="003B5E1F"/>
    <w:rsid w:val="003B5E42"/>
    <w:rsid w:val="003B60BA"/>
    <w:rsid w:val="003B6B86"/>
    <w:rsid w:val="003B6F42"/>
    <w:rsid w:val="003B7222"/>
    <w:rsid w:val="003B7586"/>
    <w:rsid w:val="003B77EA"/>
    <w:rsid w:val="003C0CB0"/>
    <w:rsid w:val="003C0DC0"/>
    <w:rsid w:val="003C0FD0"/>
    <w:rsid w:val="003C1037"/>
    <w:rsid w:val="003C1F8B"/>
    <w:rsid w:val="003C2440"/>
    <w:rsid w:val="003C2AAE"/>
    <w:rsid w:val="003C3028"/>
    <w:rsid w:val="003C3488"/>
    <w:rsid w:val="003C3698"/>
    <w:rsid w:val="003C3AE5"/>
    <w:rsid w:val="003C3CDF"/>
    <w:rsid w:val="003C4199"/>
    <w:rsid w:val="003C41D3"/>
    <w:rsid w:val="003C448D"/>
    <w:rsid w:val="003C44A1"/>
    <w:rsid w:val="003C45E7"/>
    <w:rsid w:val="003C48C0"/>
    <w:rsid w:val="003C5690"/>
    <w:rsid w:val="003C674F"/>
    <w:rsid w:val="003C6E06"/>
    <w:rsid w:val="003C7A25"/>
    <w:rsid w:val="003D08D2"/>
    <w:rsid w:val="003D18D2"/>
    <w:rsid w:val="003D233D"/>
    <w:rsid w:val="003D2785"/>
    <w:rsid w:val="003D2BFD"/>
    <w:rsid w:val="003D3653"/>
    <w:rsid w:val="003D37FA"/>
    <w:rsid w:val="003D3E40"/>
    <w:rsid w:val="003D41CF"/>
    <w:rsid w:val="003D4801"/>
    <w:rsid w:val="003D5199"/>
    <w:rsid w:val="003D54E0"/>
    <w:rsid w:val="003D56BC"/>
    <w:rsid w:val="003D5756"/>
    <w:rsid w:val="003D5F84"/>
    <w:rsid w:val="003D6599"/>
    <w:rsid w:val="003D6C0B"/>
    <w:rsid w:val="003D7062"/>
    <w:rsid w:val="003D71B3"/>
    <w:rsid w:val="003D76B5"/>
    <w:rsid w:val="003D795B"/>
    <w:rsid w:val="003E0015"/>
    <w:rsid w:val="003E0391"/>
    <w:rsid w:val="003E03C2"/>
    <w:rsid w:val="003E054E"/>
    <w:rsid w:val="003E06A9"/>
    <w:rsid w:val="003E0873"/>
    <w:rsid w:val="003E0974"/>
    <w:rsid w:val="003E0A69"/>
    <w:rsid w:val="003E15EE"/>
    <w:rsid w:val="003E1674"/>
    <w:rsid w:val="003E1710"/>
    <w:rsid w:val="003E2214"/>
    <w:rsid w:val="003E25F3"/>
    <w:rsid w:val="003E261D"/>
    <w:rsid w:val="003E2A00"/>
    <w:rsid w:val="003E3355"/>
    <w:rsid w:val="003E339F"/>
    <w:rsid w:val="003E43DD"/>
    <w:rsid w:val="003E4563"/>
    <w:rsid w:val="003E477E"/>
    <w:rsid w:val="003E4DDE"/>
    <w:rsid w:val="003E50B6"/>
    <w:rsid w:val="003E5746"/>
    <w:rsid w:val="003E5FC9"/>
    <w:rsid w:val="003E611C"/>
    <w:rsid w:val="003E61CA"/>
    <w:rsid w:val="003E65E7"/>
    <w:rsid w:val="003E6690"/>
    <w:rsid w:val="003E66E5"/>
    <w:rsid w:val="003E6AB2"/>
    <w:rsid w:val="003E6F5E"/>
    <w:rsid w:val="003E6F6B"/>
    <w:rsid w:val="003E7295"/>
    <w:rsid w:val="003E7A54"/>
    <w:rsid w:val="003E7B25"/>
    <w:rsid w:val="003F01B2"/>
    <w:rsid w:val="003F03A4"/>
    <w:rsid w:val="003F0541"/>
    <w:rsid w:val="003F15E4"/>
    <w:rsid w:val="003F1712"/>
    <w:rsid w:val="003F1774"/>
    <w:rsid w:val="003F1784"/>
    <w:rsid w:val="003F181C"/>
    <w:rsid w:val="003F1F61"/>
    <w:rsid w:val="003F253B"/>
    <w:rsid w:val="003F2805"/>
    <w:rsid w:val="003F2C0E"/>
    <w:rsid w:val="003F33BC"/>
    <w:rsid w:val="003F3821"/>
    <w:rsid w:val="003F3CA6"/>
    <w:rsid w:val="003F4243"/>
    <w:rsid w:val="003F4330"/>
    <w:rsid w:val="003F44FE"/>
    <w:rsid w:val="003F530B"/>
    <w:rsid w:val="003F534E"/>
    <w:rsid w:val="003F5C80"/>
    <w:rsid w:val="003F5FED"/>
    <w:rsid w:val="003F64E7"/>
    <w:rsid w:val="003F66C8"/>
    <w:rsid w:val="003F68CF"/>
    <w:rsid w:val="003F736B"/>
    <w:rsid w:val="003F7377"/>
    <w:rsid w:val="003F73AF"/>
    <w:rsid w:val="003F76F4"/>
    <w:rsid w:val="004003FA"/>
    <w:rsid w:val="00400A4D"/>
    <w:rsid w:val="00400EB7"/>
    <w:rsid w:val="00400F9D"/>
    <w:rsid w:val="00401387"/>
    <w:rsid w:val="004025C2"/>
    <w:rsid w:val="004026DE"/>
    <w:rsid w:val="00402B7B"/>
    <w:rsid w:val="00402E54"/>
    <w:rsid w:val="00403645"/>
    <w:rsid w:val="0040402B"/>
    <w:rsid w:val="0040412A"/>
    <w:rsid w:val="004041B5"/>
    <w:rsid w:val="00404428"/>
    <w:rsid w:val="004046F8"/>
    <w:rsid w:val="00404994"/>
    <w:rsid w:val="00405930"/>
    <w:rsid w:val="00405A2D"/>
    <w:rsid w:val="00405FE3"/>
    <w:rsid w:val="00407072"/>
    <w:rsid w:val="004071C0"/>
    <w:rsid w:val="00407874"/>
    <w:rsid w:val="0040797B"/>
    <w:rsid w:val="00407B07"/>
    <w:rsid w:val="004108E5"/>
    <w:rsid w:val="004119B8"/>
    <w:rsid w:val="00411A0F"/>
    <w:rsid w:val="00411CE0"/>
    <w:rsid w:val="00411F80"/>
    <w:rsid w:val="00412036"/>
    <w:rsid w:val="004121FD"/>
    <w:rsid w:val="00412DA1"/>
    <w:rsid w:val="004146E2"/>
    <w:rsid w:val="00414B01"/>
    <w:rsid w:val="00414F1F"/>
    <w:rsid w:val="00415BEA"/>
    <w:rsid w:val="00415CE5"/>
    <w:rsid w:val="00416141"/>
    <w:rsid w:val="00416A0B"/>
    <w:rsid w:val="00416FC1"/>
    <w:rsid w:val="00417C44"/>
    <w:rsid w:val="00417CD7"/>
    <w:rsid w:val="00417EB7"/>
    <w:rsid w:val="004205F1"/>
    <w:rsid w:val="00420849"/>
    <w:rsid w:val="00420A2E"/>
    <w:rsid w:val="00421232"/>
    <w:rsid w:val="004217E0"/>
    <w:rsid w:val="00421D5E"/>
    <w:rsid w:val="00422208"/>
    <w:rsid w:val="00422907"/>
    <w:rsid w:val="004229A5"/>
    <w:rsid w:val="00422DBF"/>
    <w:rsid w:val="004231CC"/>
    <w:rsid w:val="004234EF"/>
    <w:rsid w:val="00423F6C"/>
    <w:rsid w:val="00424094"/>
    <w:rsid w:val="0042513A"/>
    <w:rsid w:val="004251CF"/>
    <w:rsid w:val="004258D9"/>
    <w:rsid w:val="00425B14"/>
    <w:rsid w:val="00425EAC"/>
    <w:rsid w:val="0042608B"/>
    <w:rsid w:val="00427553"/>
    <w:rsid w:val="004277BB"/>
    <w:rsid w:val="0043035C"/>
    <w:rsid w:val="00431439"/>
    <w:rsid w:val="004317C8"/>
    <w:rsid w:val="00431EB5"/>
    <w:rsid w:val="00431F2C"/>
    <w:rsid w:val="004321C3"/>
    <w:rsid w:val="004325E4"/>
    <w:rsid w:val="0043267E"/>
    <w:rsid w:val="004326B3"/>
    <w:rsid w:val="00432E69"/>
    <w:rsid w:val="00433AA5"/>
    <w:rsid w:val="00433F10"/>
    <w:rsid w:val="00434C58"/>
    <w:rsid w:val="00434E65"/>
    <w:rsid w:val="00434FC5"/>
    <w:rsid w:val="004356E4"/>
    <w:rsid w:val="00435D7A"/>
    <w:rsid w:val="00436011"/>
    <w:rsid w:val="00436228"/>
    <w:rsid w:val="004367E1"/>
    <w:rsid w:val="0043797E"/>
    <w:rsid w:val="00437D15"/>
    <w:rsid w:val="00437F9D"/>
    <w:rsid w:val="00440739"/>
    <w:rsid w:val="0044087E"/>
    <w:rsid w:val="004409AC"/>
    <w:rsid w:val="00440A45"/>
    <w:rsid w:val="00440D89"/>
    <w:rsid w:val="00440ED6"/>
    <w:rsid w:val="0044162C"/>
    <w:rsid w:val="00441826"/>
    <w:rsid w:val="00441867"/>
    <w:rsid w:val="0044195F"/>
    <w:rsid w:val="00441E1E"/>
    <w:rsid w:val="00441FBF"/>
    <w:rsid w:val="0044289D"/>
    <w:rsid w:val="004434A5"/>
    <w:rsid w:val="004436BD"/>
    <w:rsid w:val="004437F9"/>
    <w:rsid w:val="0044386E"/>
    <w:rsid w:val="004438B2"/>
    <w:rsid w:val="00443A0B"/>
    <w:rsid w:val="00443A0F"/>
    <w:rsid w:val="00443FA9"/>
    <w:rsid w:val="0044490C"/>
    <w:rsid w:val="00445D2D"/>
    <w:rsid w:val="00446D17"/>
    <w:rsid w:val="00446E24"/>
    <w:rsid w:val="00447B84"/>
    <w:rsid w:val="00447EA5"/>
    <w:rsid w:val="00447F8F"/>
    <w:rsid w:val="004500A3"/>
    <w:rsid w:val="00450BCA"/>
    <w:rsid w:val="00450DD8"/>
    <w:rsid w:val="0045137E"/>
    <w:rsid w:val="00451B60"/>
    <w:rsid w:val="00451C31"/>
    <w:rsid w:val="00451D27"/>
    <w:rsid w:val="0045206B"/>
    <w:rsid w:val="004522AE"/>
    <w:rsid w:val="004524C5"/>
    <w:rsid w:val="0045260D"/>
    <w:rsid w:val="004526CA"/>
    <w:rsid w:val="0045281E"/>
    <w:rsid w:val="004529AA"/>
    <w:rsid w:val="004529E9"/>
    <w:rsid w:val="00452F48"/>
    <w:rsid w:val="00452FD0"/>
    <w:rsid w:val="004534A0"/>
    <w:rsid w:val="00454D86"/>
    <w:rsid w:val="00454E6A"/>
    <w:rsid w:val="004559C7"/>
    <w:rsid w:val="00456825"/>
    <w:rsid w:val="00456C53"/>
    <w:rsid w:val="0045715A"/>
    <w:rsid w:val="00457513"/>
    <w:rsid w:val="00457B45"/>
    <w:rsid w:val="00457C0E"/>
    <w:rsid w:val="004608B2"/>
    <w:rsid w:val="00460AC4"/>
    <w:rsid w:val="00461A07"/>
    <w:rsid w:val="00461E88"/>
    <w:rsid w:val="004627C9"/>
    <w:rsid w:val="00462CCF"/>
    <w:rsid w:val="00463443"/>
    <w:rsid w:val="004646C3"/>
    <w:rsid w:val="00464752"/>
    <w:rsid w:val="00465381"/>
    <w:rsid w:val="00465A23"/>
    <w:rsid w:val="00465F5A"/>
    <w:rsid w:val="00466297"/>
    <w:rsid w:val="00466620"/>
    <w:rsid w:val="00466A38"/>
    <w:rsid w:val="00466C07"/>
    <w:rsid w:val="00467054"/>
    <w:rsid w:val="004676F0"/>
    <w:rsid w:val="004713F1"/>
    <w:rsid w:val="004715E5"/>
    <w:rsid w:val="0047160E"/>
    <w:rsid w:val="0047212E"/>
    <w:rsid w:val="0047278B"/>
    <w:rsid w:val="00472862"/>
    <w:rsid w:val="00472D31"/>
    <w:rsid w:val="004730CC"/>
    <w:rsid w:val="004736A2"/>
    <w:rsid w:val="00473A59"/>
    <w:rsid w:val="00473D8E"/>
    <w:rsid w:val="00474157"/>
    <w:rsid w:val="00474EB2"/>
    <w:rsid w:val="00475401"/>
    <w:rsid w:val="00475D65"/>
    <w:rsid w:val="00476090"/>
    <w:rsid w:val="00476467"/>
    <w:rsid w:val="00476AD7"/>
    <w:rsid w:val="00476DB6"/>
    <w:rsid w:val="0047709B"/>
    <w:rsid w:val="00477C56"/>
    <w:rsid w:val="00480472"/>
    <w:rsid w:val="00480A45"/>
    <w:rsid w:val="00480F7E"/>
    <w:rsid w:val="00481342"/>
    <w:rsid w:val="004816F4"/>
    <w:rsid w:val="00482738"/>
    <w:rsid w:val="00482CF0"/>
    <w:rsid w:val="00482F81"/>
    <w:rsid w:val="0048398A"/>
    <w:rsid w:val="00483EEE"/>
    <w:rsid w:val="004846D4"/>
    <w:rsid w:val="00484FA1"/>
    <w:rsid w:val="00485206"/>
    <w:rsid w:val="0048579A"/>
    <w:rsid w:val="004857FB"/>
    <w:rsid w:val="00486890"/>
    <w:rsid w:val="00486B40"/>
    <w:rsid w:val="00486DE5"/>
    <w:rsid w:val="004871FB"/>
    <w:rsid w:val="00487595"/>
    <w:rsid w:val="004879CD"/>
    <w:rsid w:val="00487CF8"/>
    <w:rsid w:val="00487E5B"/>
    <w:rsid w:val="00490528"/>
    <w:rsid w:val="00490703"/>
    <w:rsid w:val="004908EC"/>
    <w:rsid w:val="00490B91"/>
    <w:rsid w:val="004913CA"/>
    <w:rsid w:val="004916B1"/>
    <w:rsid w:val="00492109"/>
    <w:rsid w:val="00492608"/>
    <w:rsid w:val="00492814"/>
    <w:rsid w:val="00493149"/>
    <w:rsid w:val="004931AB"/>
    <w:rsid w:val="00494B70"/>
    <w:rsid w:val="00495226"/>
    <w:rsid w:val="00496275"/>
    <w:rsid w:val="004965D6"/>
    <w:rsid w:val="00496ABF"/>
    <w:rsid w:val="004974E2"/>
    <w:rsid w:val="004976B0"/>
    <w:rsid w:val="004978DD"/>
    <w:rsid w:val="0049793F"/>
    <w:rsid w:val="00497945"/>
    <w:rsid w:val="004A10FF"/>
    <w:rsid w:val="004A1319"/>
    <w:rsid w:val="004A1472"/>
    <w:rsid w:val="004A167F"/>
    <w:rsid w:val="004A16A3"/>
    <w:rsid w:val="004A1853"/>
    <w:rsid w:val="004A1B63"/>
    <w:rsid w:val="004A1D42"/>
    <w:rsid w:val="004A1F15"/>
    <w:rsid w:val="004A2024"/>
    <w:rsid w:val="004A23CC"/>
    <w:rsid w:val="004A25CB"/>
    <w:rsid w:val="004A2F96"/>
    <w:rsid w:val="004A3030"/>
    <w:rsid w:val="004A3277"/>
    <w:rsid w:val="004A3768"/>
    <w:rsid w:val="004A3AF8"/>
    <w:rsid w:val="004A3B24"/>
    <w:rsid w:val="004A3D2F"/>
    <w:rsid w:val="004A4337"/>
    <w:rsid w:val="004A44E1"/>
    <w:rsid w:val="004A450E"/>
    <w:rsid w:val="004A5015"/>
    <w:rsid w:val="004A5286"/>
    <w:rsid w:val="004A5A37"/>
    <w:rsid w:val="004A745D"/>
    <w:rsid w:val="004A7744"/>
    <w:rsid w:val="004B00C8"/>
    <w:rsid w:val="004B011E"/>
    <w:rsid w:val="004B0411"/>
    <w:rsid w:val="004B0422"/>
    <w:rsid w:val="004B0F39"/>
    <w:rsid w:val="004B1309"/>
    <w:rsid w:val="004B22BA"/>
    <w:rsid w:val="004B2AE7"/>
    <w:rsid w:val="004B2F2F"/>
    <w:rsid w:val="004B327B"/>
    <w:rsid w:val="004B3A77"/>
    <w:rsid w:val="004B3EB7"/>
    <w:rsid w:val="004B40F6"/>
    <w:rsid w:val="004B411F"/>
    <w:rsid w:val="004B4135"/>
    <w:rsid w:val="004B475D"/>
    <w:rsid w:val="004B4CFF"/>
    <w:rsid w:val="004B5172"/>
    <w:rsid w:val="004B53CE"/>
    <w:rsid w:val="004B5592"/>
    <w:rsid w:val="004B5D13"/>
    <w:rsid w:val="004B5F5D"/>
    <w:rsid w:val="004B6094"/>
    <w:rsid w:val="004B6355"/>
    <w:rsid w:val="004B6AB2"/>
    <w:rsid w:val="004B7127"/>
    <w:rsid w:val="004B732D"/>
    <w:rsid w:val="004B7A79"/>
    <w:rsid w:val="004B7B65"/>
    <w:rsid w:val="004C01A4"/>
    <w:rsid w:val="004C0A91"/>
    <w:rsid w:val="004C0D30"/>
    <w:rsid w:val="004C0D36"/>
    <w:rsid w:val="004C12BE"/>
    <w:rsid w:val="004C1A5C"/>
    <w:rsid w:val="004C2553"/>
    <w:rsid w:val="004C2648"/>
    <w:rsid w:val="004C27DE"/>
    <w:rsid w:val="004C2A67"/>
    <w:rsid w:val="004C2DE1"/>
    <w:rsid w:val="004C2EFD"/>
    <w:rsid w:val="004C4367"/>
    <w:rsid w:val="004C4377"/>
    <w:rsid w:val="004C49D5"/>
    <w:rsid w:val="004C52EF"/>
    <w:rsid w:val="004C5E67"/>
    <w:rsid w:val="004C6098"/>
    <w:rsid w:val="004C61FF"/>
    <w:rsid w:val="004C623F"/>
    <w:rsid w:val="004C65B8"/>
    <w:rsid w:val="004C6BE1"/>
    <w:rsid w:val="004C6FCF"/>
    <w:rsid w:val="004C70DA"/>
    <w:rsid w:val="004C7FAC"/>
    <w:rsid w:val="004D03EA"/>
    <w:rsid w:val="004D14FA"/>
    <w:rsid w:val="004D1645"/>
    <w:rsid w:val="004D1744"/>
    <w:rsid w:val="004D19F7"/>
    <w:rsid w:val="004D3A1F"/>
    <w:rsid w:val="004D4160"/>
    <w:rsid w:val="004D5332"/>
    <w:rsid w:val="004D63D6"/>
    <w:rsid w:val="004D64CC"/>
    <w:rsid w:val="004D6587"/>
    <w:rsid w:val="004D6A5C"/>
    <w:rsid w:val="004D6EB4"/>
    <w:rsid w:val="004D776F"/>
    <w:rsid w:val="004E0BA3"/>
    <w:rsid w:val="004E0CD0"/>
    <w:rsid w:val="004E0E1A"/>
    <w:rsid w:val="004E0EFD"/>
    <w:rsid w:val="004E0F86"/>
    <w:rsid w:val="004E10BE"/>
    <w:rsid w:val="004E136B"/>
    <w:rsid w:val="004E20D2"/>
    <w:rsid w:val="004E2181"/>
    <w:rsid w:val="004E258F"/>
    <w:rsid w:val="004E2ACC"/>
    <w:rsid w:val="004E30F8"/>
    <w:rsid w:val="004E3771"/>
    <w:rsid w:val="004E3CF9"/>
    <w:rsid w:val="004E470A"/>
    <w:rsid w:val="004E4B28"/>
    <w:rsid w:val="004E53BB"/>
    <w:rsid w:val="004E5739"/>
    <w:rsid w:val="004E5A10"/>
    <w:rsid w:val="004E5C0F"/>
    <w:rsid w:val="004E6B70"/>
    <w:rsid w:val="004E6E7C"/>
    <w:rsid w:val="004F1283"/>
    <w:rsid w:val="004F13C2"/>
    <w:rsid w:val="004F1A18"/>
    <w:rsid w:val="004F330C"/>
    <w:rsid w:val="004F3354"/>
    <w:rsid w:val="004F33C0"/>
    <w:rsid w:val="004F3DFE"/>
    <w:rsid w:val="004F3F89"/>
    <w:rsid w:val="004F422A"/>
    <w:rsid w:val="004F42C5"/>
    <w:rsid w:val="004F4633"/>
    <w:rsid w:val="004F4999"/>
    <w:rsid w:val="004F499C"/>
    <w:rsid w:val="004F4A4C"/>
    <w:rsid w:val="004F4D5B"/>
    <w:rsid w:val="004F4E41"/>
    <w:rsid w:val="004F567A"/>
    <w:rsid w:val="004F5BC4"/>
    <w:rsid w:val="004F61C6"/>
    <w:rsid w:val="004F677B"/>
    <w:rsid w:val="004F7B30"/>
    <w:rsid w:val="004F7CF8"/>
    <w:rsid w:val="005001B1"/>
    <w:rsid w:val="005004A5"/>
    <w:rsid w:val="005004CD"/>
    <w:rsid w:val="00500623"/>
    <w:rsid w:val="00500675"/>
    <w:rsid w:val="00500AB6"/>
    <w:rsid w:val="005018A5"/>
    <w:rsid w:val="00501AB0"/>
    <w:rsid w:val="00501D14"/>
    <w:rsid w:val="00502225"/>
    <w:rsid w:val="005026D3"/>
    <w:rsid w:val="00502CF4"/>
    <w:rsid w:val="0050311A"/>
    <w:rsid w:val="00503840"/>
    <w:rsid w:val="00503BE5"/>
    <w:rsid w:val="00503D05"/>
    <w:rsid w:val="00503EF1"/>
    <w:rsid w:val="00504187"/>
    <w:rsid w:val="00504450"/>
    <w:rsid w:val="0050455A"/>
    <w:rsid w:val="005046CA"/>
    <w:rsid w:val="005049E6"/>
    <w:rsid w:val="00504BB1"/>
    <w:rsid w:val="00505054"/>
    <w:rsid w:val="005057FE"/>
    <w:rsid w:val="00505AB0"/>
    <w:rsid w:val="00505ECD"/>
    <w:rsid w:val="00506F8A"/>
    <w:rsid w:val="005076A8"/>
    <w:rsid w:val="0050793A"/>
    <w:rsid w:val="00507F26"/>
    <w:rsid w:val="005102BD"/>
    <w:rsid w:val="00510B09"/>
    <w:rsid w:val="005114E6"/>
    <w:rsid w:val="0051176F"/>
    <w:rsid w:val="005122B2"/>
    <w:rsid w:val="005123AC"/>
    <w:rsid w:val="005126CF"/>
    <w:rsid w:val="00512A48"/>
    <w:rsid w:val="00512D0D"/>
    <w:rsid w:val="00513BCA"/>
    <w:rsid w:val="0051413C"/>
    <w:rsid w:val="00514181"/>
    <w:rsid w:val="00514E7C"/>
    <w:rsid w:val="005153E5"/>
    <w:rsid w:val="00515A96"/>
    <w:rsid w:val="00515DD4"/>
    <w:rsid w:val="00515E74"/>
    <w:rsid w:val="005164EA"/>
    <w:rsid w:val="005169CC"/>
    <w:rsid w:val="00516BBF"/>
    <w:rsid w:val="00516BE3"/>
    <w:rsid w:val="00516C6D"/>
    <w:rsid w:val="00516E1C"/>
    <w:rsid w:val="00516F9A"/>
    <w:rsid w:val="00517908"/>
    <w:rsid w:val="00520164"/>
    <w:rsid w:val="00520170"/>
    <w:rsid w:val="00521126"/>
    <w:rsid w:val="005212A5"/>
    <w:rsid w:val="005216AC"/>
    <w:rsid w:val="00521A3A"/>
    <w:rsid w:val="00521B3C"/>
    <w:rsid w:val="00522AED"/>
    <w:rsid w:val="005231B0"/>
    <w:rsid w:val="00523A09"/>
    <w:rsid w:val="00523CD8"/>
    <w:rsid w:val="005241AC"/>
    <w:rsid w:val="0052426F"/>
    <w:rsid w:val="00524477"/>
    <w:rsid w:val="00524651"/>
    <w:rsid w:val="00524E76"/>
    <w:rsid w:val="00524ED2"/>
    <w:rsid w:val="00524EE6"/>
    <w:rsid w:val="005251E4"/>
    <w:rsid w:val="0052530F"/>
    <w:rsid w:val="00525D05"/>
    <w:rsid w:val="00525F1D"/>
    <w:rsid w:val="00526D8F"/>
    <w:rsid w:val="00526ED3"/>
    <w:rsid w:val="00526F7B"/>
    <w:rsid w:val="0052763A"/>
    <w:rsid w:val="00527888"/>
    <w:rsid w:val="005301AA"/>
    <w:rsid w:val="005302BF"/>
    <w:rsid w:val="00530466"/>
    <w:rsid w:val="005309F1"/>
    <w:rsid w:val="00530C7E"/>
    <w:rsid w:val="00530E10"/>
    <w:rsid w:val="00530E55"/>
    <w:rsid w:val="00531555"/>
    <w:rsid w:val="00531B9A"/>
    <w:rsid w:val="005320CF"/>
    <w:rsid w:val="005325CD"/>
    <w:rsid w:val="0053384F"/>
    <w:rsid w:val="00534456"/>
    <w:rsid w:val="005345B1"/>
    <w:rsid w:val="00534EAF"/>
    <w:rsid w:val="00535BCC"/>
    <w:rsid w:val="00535D00"/>
    <w:rsid w:val="00536043"/>
    <w:rsid w:val="00536726"/>
    <w:rsid w:val="00536DDB"/>
    <w:rsid w:val="0053735B"/>
    <w:rsid w:val="005374D3"/>
    <w:rsid w:val="00537AFA"/>
    <w:rsid w:val="005400ED"/>
    <w:rsid w:val="00540286"/>
    <w:rsid w:val="00540518"/>
    <w:rsid w:val="00540A71"/>
    <w:rsid w:val="0054100C"/>
    <w:rsid w:val="00541D40"/>
    <w:rsid w:val="00542808"/>
    <w:rsid w:val="00542BA4"/>
    <w:rsid w:val="00543AD8"/>
    <w:rsid w:val="00543B7F"/>
    <w:rsid w:val="00543F04"/>
    <w:rsid w:val="00544035"/>
    <w:rsid w:val="00544083"/>
    <w:rsid w:val="00544ECE"/>
    <w:rsid w:val="00545754"/>
    <w:rsid w:val="00545823"/>
    <w:rsid w:val="005465D6"/>
    <w:rsid w:val="0054667C"/>
    <w:rsid w:val="005467D8"/>
    <w:rsid w:val="00546CC1"/>
    <w:rsid w:val="0054717C"/>
    <w:rsid w:val="005475C5"/>
    <w:rsid w:val="00547CAD"/>
    <w:rsid w:val="0055068E"/>
    <w:rsid w:val="005508B3"/>
    <w:rsid w:val="00550F4C"/>
    <w:rsid w:val="00551260"/>
    <w:rsid w:val="005515D7"/>
    <w:rsid w:val="00551926"/>
    <w:rsid w:val="00552338"/>
    <w:rsid w:val="0055236B"/>
    <w:rsid w:val="00552676"/>
    <w:rsid w:val="005526F7"/>
    <w:rsid w:val="00552FA4"/>
    <w:rsid w:val="00552FD6"/>
    <w:rsid w:val="00554793"/>
    <w:rsid w:val="00554852"/>
    <w:rsid w:val="00554E94"/>
    <w:rsid w:val="00555FE1"/>
    <w:rsid w:val="0055612E"/>
    <w:rsid w:val="0055616D"/>
    <w:rsid w:val="00556223"/>
    <w:rsid w:val="00556C4A"/>
    <w:rsid w:val="00556F3D"/>
    <w:rsid w:val="00557250"/>
    <w:rsid w:val="0055766B"/>
    <w:rsid w:val="005578B8"/>
    <w:rsid w:val="00557DF0"/>
    <w:rsid w:val="005600D3"/>
    <w:rsid w:val="00560EA8"/>
    <w:rsid w:val="00561A48"/>
    <w:rsid w:val="00562204"/>
    <w:rsid w:val="00562F61"/>
    <w:rsid w:val="00563200"/>
    <w:rsid w:val="005636A8"/>
    <w:rsid w:val="005636B2"/>
    <w:rsid w:val="00563B7C"/>
    <w:rsid w:val="0056446E"/>
    <w:rsid w:val="005647D4"/>
    <w:rsid w:val="005651EC"/>
    <w:rsid w:val="005654F1"/>
    <w:rsid w:val="005659AC"/>
    <w:rsid w:val="00565FFB"/>
    <w:rsid w:val="005660E0"/>
    <w:rsid w:val="005667E5"/>
    <w:rsid w:val="005673D7"/>
    <w:rsid w:val="005704E1"/>
    <w:rsid w:val="00570776"/>
    <w:rsid w:val="00570CCC"/>
    <w:rsid w:val="00571083"/>
    <w:rsid w:val="0057120A"/>
    <w:rsid w:val="005721D6"/>
    <w:rsid w:val="005723FA"/>
    <w:rsid w:val="00572E47"/>
    <w:rsid w:val="00573397"/>
    <w:rsid w:val="0057353F"/>
    <w:rsid w:val="00573719"/>
    <w:rsid w:val="005737E9"/>
    <w:rsid w:val="00573A0C"/>
    <w:rsid w:val="00573B5B"/>
    <w:rsid w:val="00574202"/>
    <w:rsid w:val="005742F0"/>
    <w:rsid w:val="005748E0"/>
    <w:rsid w:val="005749E1"/>
    <w:rsid w:val="00574C26"/>
    <w:rsid w:val="00575152"/>
    <w:rsid w:val="0057521D"/>
    <w:rsid w:val="00575E88"/>
    <w:rsid w:val="00575EA4"/>
    <w:rsid w:val="005762A2"/>
    <w:rsid w:val="00576432"/>
    <w:rsid w:val="00576F3D"/>
    <w:rsid w:val="00580804"/>
    <w:rsid w:val="005817E7"/>
    <w:rsid w:val="00582162"/>
    <w:rsid w:val="00582336"/>
    <w:rsid w:val="00582C4D"/>
    <w:rsid w:val="00582FB1"/>
    <w:rsid w:val="0058303D"/>
    <w:rsid w:val="00583530"/>
    <w:rsid w:val="00583BC8"/>
    <w:rsid w:val="005844B4"/>
    <w:rsid w:val="005845AB"/>
    <w:rsid w:val="005845D1"/>
    <w:rsid w:val="00584777"/>
    <w:rsid w:val="005857FA"/>
    <w:rsid w:val="00585A58"/>
    <w:rsid w:val="00585AE5"/>
    <w:rsid w:val="00586051"/>
    <w:rsid w:val="0058623E"/>
    <w:rsid w:val="005866D0"/>
    <w:rsid w:val="00586785"/>
    <w:rsid w:val="00586CAF"/>
    <w:rsid w:val="005872E9"/>
    <w:rsid w:val="00587530"/>
    <w:rsid w:val="00587890"/>
    <w:rsid w:val="00587DA8"/>
    <w:rsid w:val="00587FCA"/>
    <w:rsid w:val="00590081"/>
    <w:rsid w:val="00590613"/>
    <w:rsid w:val="005910F4"/>
    <w:rsid w:val="00591480"/>
    <w:rsid w:val="00591A2F"/>
    <w:rsid w:val="00591B64"/>
    <w:rsid w:val="00592E11"/>
    <w:rsid w:val="005931E1"/>
    <w:rsid w:val="005936B4"/>
    <w:rsid w:val="00595B1F"/>
    <w:rsid w:val="00595CE7"/>
    <w:rsid w:val="00595DED"/>
    <w:rsid w:val="005966C6"/>
    <w:rsid w:val="0059704A"/>
    <w:rsid w:val="005973D1"/>
    <w:rsid w:val="0059761A"/>
    <w:rsid w:val="00597E66"/>
    <w:rsid w:val="005A06D8"/>
    <w:rsid w:val="005A0B48"/>
    <w:rsid w:val="005A0C46"/>
    <w:rsid w:val="005A0D36"/>
    <w:rsid w:val="005A1BBD"/>
    <w:rsid w:val="005A1CE7"/>
    <w:rsid w:val="005A1D2E"/>
    <w:rsid w:val="005A1FE7"/>
    <w:rsid w:val="005A21B8"/>
    <w:rsid w:val="005A293B"/>
    <w:rsid w:val="005A2B1A"/>
    <w:rsid w:val="005A2C39"/>
    <w:rsid w:val="005A2CCB"/>
    <w:rsid w:val="005A37B4"/>
    <w:rsid w:val="005A3912"/>
    <w:rsid w:val="005A3DE4"/>
    <w:rsid w:val="005A437D"/>
    <w:rsid w:val="005A459D"/>
    <w:rsid w:val="005A46B4"/>
    <w:rsid w:val="005A5339"/>
    <w:rsid w:val="005A5C98"/>
    <w:rsid w:val="005A5E89"/>
    <w:rsid w:val="005A6531"/>
    <w:rsid w:val="005A6B15"/>
    <w:rsid w:val="005A6B1E"/>
    <w:rsid w:val="005A703B"/>
    <w:rsid w:val="005A76B3"/>
    <w:rsid w:val="005A7B97"/>
    <w:rsid w:val="005B0031"/>
    <w:rsid w:val="005B003F"/>
    <w:rsid w:val="005B02FD"/>
    <w:rsid w:val="005B0351"/>
    <w:rsid w:val="005B0623"/>
    <w:rsid w:val="005B0638"/>
    <w:rsid w:val="005B0D34"/>
    <w:rsid w:val="005B0E74"/>
    <w:rsid w:val="005B1596"/>
    <w:rsid w:val="005B18E7"/>
    <w:rsid w:val="005B1DAE"/>
    <w:rsid w:val="005B21F3"/>
    <w:rsid w:val="005B23CA"/>
    <w:rsid w:val="005B24BA"/>
    <w:rsid w:val="005B27AD"/>
    <w:rsid w:val="005B2C07"/>
    <w:rsid w:val="005B2C54"/>
    <w:rsid w:val="005B2D52"/>
    <w:rsid w:val="005B32FD"/>
    <w:rsid w:val="005B3CDD"/>
    <w:rsid w:val="005B5157"/>
    <w:rsid w:val="005B52AB"/>
    <w:rsid w:val="005B55C6"/>
    <w:rsid w:val="005B6EEC"/>
    <w:rsid w:val="005B70CC"/>
    <w:rsid w:val="005B7CD2"/>
    <w:rsid w:val="005C018A"/>
    <w:rsid w:val="005C0CF0"/>
    <w:rsid w:val="005C0F69"/>
    <w:rsid w:val="005C113F"/>
    <w:rsid w:val="005C16AC"/>
    <w:rsid w:val="005C1918"/>
    <w:rsid w:val="005C2377"/>
    <w:rsid w:val="005C238E"/>
    <w:rsid w:val="005C28F0"/>
    <w:rsid w:val="005C29DC"/>
    <w:rsid w:val="005C2BE1"/>
    <w:rsid w:val="005C2E91"/>
    <w:rsid w:val="005C3405"/>
    <w:rsid w:val="005C38F6"/>
    <w:rsid w:val="005C39AA"/>
    <w:rsid w:val="005C3AFD"/>
    <w:rsid w:val="005C3F44"/>
    <w:rsid w:val="005C411B"/>
    <w:rsid w:val="005C46C1"/>
    <w:rsid w:val="005C5661"/>
    <w:rsid w:val="005C5F01"/>
    <w:rsid w:val="005C67B8"/>
    <w:rsid w:val="005C7B4F"/>
    <w:rsid w:val="005D0290"/>
    <w:rsid w:val="005D0655"/>
    <w:rsid w:val="005D06AB"/>
    <w:rsid w:val="005D1017"/>
    <w:rsid w:val="005D1650"/>
    <w:rsid w:val="005D2406"/>
    <w:rsid w:val="005D285B"/>
    <w:rsid w:val="005D2B95"/>
    <w:rsid w:val="005D3674"/>
    <w:rsid w:val="005D3688"/>
    <w:rsid w:val="005D3B4A"/>
    <w:rsid w:val="005D46E9"/>
    <w:rsid w:val="005D4766"/>
    <w:rsid w:val="005D4B77"/>
    <w:rsid w:val="005D4BDA"/>
    <w:rsid w:val="005D4E24"/>
    <w:rsid w:val="005D4E7C"/>
    <w:rsid w:val="005D521C"/>
    <w:rsid w:val="005D5276"/>
    <w:rsid w:val="005D566E"/>
    <w:rsid w:val="005D56B8"/>
    <w:rsid w:val="005D56CD"/>
    <w:rsid w:val="005D56DB"/>
    <w:rsid w:val="005D5767"/>
    <w:rsid w:val="005D59F8"/>
    <w:rsid w:val="005D5AC4"/>
    <w:rsid w:val="005D5EC8"/>
    <w:rsid w:val="005D66A1"/>
    <w:rsid w:val="005D731C"/>
    <w:rsid w:val="005D7FD3"/>
    <w:rsid w:val="005E0540"/>
    <w:rsid w:val="005E05D3"/>
    <w:rsid w:val="005E0CBB"/>
    <w:rsid w:val="005E0E8F"/>
    <w:rsid w:val="005E108C"/>
    <w:rsid w:val="005E13FD"/>
    <w:rsid w:val="005E1C38"/>
    <w:rsid w:val="005E2922"/>
    <w:rsid w:val="005E2A04"/>
    <w:rsid w:val="005E2E28"/>
    <w:rsid w:val="005E33F6"/>
    <w:rsid w:val="005E36CE"/>
    <w:rsid w:val="005E43A6"/>
    <w:rsid w:val="005E4EAC"/>
    <w:rsid w:val="005E509D"/>
    <w:rsid w:val="005E5513"/>
    <w:rsid w:val="005E5CB7"/>
    <w:rsid w:val="005E5D5A"/>
    <w:rsid w:val="005E6942"/>
    <w:rsid w:val="005E696F"/>
    <w:rsid w:val="005E6E2E"/>
    <w:rsid w:val="005E6EE9"/>
    <w:rsid w:val="005E7B6C"/>
    <w:rsid w:val="005E7C7D"/>
    <w:rsid w:val="005F045A"/>
    <w:rsid w:val="005F04F6"/>
    <w:rsid w:val="005F094F"/>
    <w:rsid w:val="005F0D63"/>
    <w:rsid w:val="005F14BB"/>
    <w:rsid w:val="005F1AF6"/>
    <w:rsid w:val="005F1B54"/>
    <w:rsid w:val="005F1E0A"/>
    <w:rsid w:val="005F1F6B"/>
    <w:rsid w:val="005F21B5"/>
    <w:rsid w:val="005F23B9"/>
    <w:rsid w:val="005F2853"/>
    <w:rsid w:val="005F2949"/>
    <w:rsid w:val="005F2A19"/>
    <w:rsid w:val="005F3137"/>
    <w:rsid w:val="005F336A"/>
    <w:rsid w:val="005F34CE"/>
    <w:rsid w:val="005F387A"/>
    <w:rsid w:val="005F3C1D"/>
    <w:rsid w:val="005F3DAA"/>
    <w:rsid w:val="005F41A4"/>
    <w:rsid w:val="005F4603"/>
    <w:rsid w:val="005F49C4"/>
    <w:rsid w:val="005F4DAB"/>
    <w:rsid w:val="005F5885"/>
    <w:rsid w:val="005F5CA0"/>
    <w:rsid w:val="005F5F10"/>
    <w:rsid w:val="005F5F5A"/>
    <w:rsid w:val="005F5F71"/>
    <w:rsid w:val="005F5FDB"/>
    <w:rsid w:val="005F6064"/>
    <w:rsid w:val="005F61AA"/>
    <w:rsid w:val="005F779D"/>
    <w:rsid w:val="005F7EC3"/>
    <w:rsid w:val="005F7FD3"/>
    <w:rsid w:val="0060026B"/>
    <w:rsid w:val="00600627"/>
    <w:rsid w:val="00600789"/>
    <w:rsid w:val="00600B0A"/>
    <w:rsid w:val="00601776"/>
    <w:rsid w:val="0060232A"/>
    <w:rsid w:val="0060256C"/>
    <w:rsid w:val="00602954"/>
    <w:rsid w:val="00602E02"/>
    <w:rsid w:val="006039CE"/>
    <w:rsid w:val="00604720"/>
    <w:rsid w:val="0060511E"/>
    <w:rsid w:val="0060533E"/>
    <w:rsid w:val="00605794"/>
    <w:rsid w:val="00605CFE"/>
    <w:rsid w:val="00605ECC"/>
    <w:rsid w:val="00605FFF"/>
    <w:rsid w:val="00606035"/>
    <w:rsid w:val="006063A0"/>
    <w:rsid w:val="00606DCF"/>
    <w:rsid w:val="00606F42"/>
    <w:rsid w:val="00607215"/>
    <w:rsid w:val="0060779A"/>
    <w:rsid w:val="00610093"/>
    <w:rsid w:val="00610C92"/>
    <w:rsid w:val="00611022"/>
    <w:rsid w:val="006111A8"/>
    <w:rsid w:val="006112CA"/>
    <w:rsid w:val="00611785"/>
    <w:rsid w:val="00611B87"/>
    <w:rsid w:val="006120E9"/>
    <w:rsid w:val="00612464"/>
    <w:rsid w:val="00612645"/>
    <w:rsid w:val="00612B14"/>
    <w:rsid w:val="00612D8E"/>
    <w:rsid w:val="00613049"/>
    <w:rsid w:val="00613463"/>
    <w:rsid w:val="00613ADB"/>
    <w:rsid w:val="00613C3B"/>
    <w:rsid w:val="00614120"/>
    <w:rsid w:val="006145EA"/>
    <w:rsid w:val="00614D6A"/>
    <w:rsid w:val="00615075"/>
    <w:rsid w:val="006156D5"/>
    <w:rsid w:val="006156ED"/>
    <w:rsid w:val="00615978"/>
    <w:rsid w:val="00615982"/>
    <w:rsid w:val="0061661D"/>
    <w:rsid w:val="00617155"/>
    <w:rsid w:val="006174A0"/>
    <w:rsid w:val="006179AE"/>
    <w:rsid w:val="00617A13"/>
    <w:rsid w:val="00617ACC"/>
    <w:rsid w:val="00617E88"/>
    <w:rsid w:val="00621320"/>
    <w:rsid w:val="006213F6"/>
    <w:rsid w:val="006225A3"/>
    <w:rsid w:val="00622789"/>
    <w:rsid w:val="006228D0"/>
    <w:rsid w:val="00622A49"/>
    <w:rsid w:val="00622FAF"/>
    <w:rsid w:val="00622FBD"/>
    <w:rsid w:val="006236BE"/>
    <w:rsid w:val="00623C5E"/>
    <w:rsid w:val="00623DBD"/>
    <w:rsid w:val="00623DC8"/>
    <w:rsid w:val="00624961"/>
    <w:rsid w:val="00624B9A"/>
    <w:rsid w:val="00624C13"/>
    <w:rsid w:val="006250AC"/>
    <w:rsid w:val="00625796"/>
    <w:rsid w:val="00625C00"/>
    <w:rsid w:val="006261C2"/>
    <w:rsid w:val="006263AE"/>
    <w:rsid w:val="00626432"/>
    <w:rsid w:val="00626644"/>
    <w:rsid w:val="006266F5"/>
    <w:rsid w:val="00626A47"/>
    <w:rsid w:val="00626E10"/>
    <w:rsid w:val="00626FDD"/>
    <w:rsid w:val="0062719F"/>
    <w:rsid w:val="006276CF"/>
    <w:rsid w:val="00627D0D"/>
    <w:rsid w:val="006304EC"/>
    <w:rsid w:val="0063086D"/>
    <w:rsid w:val="00631B76"/>
    <w:rsid w:val="00632074"/>
    <w:rsid w:val="0063304C"/>
    <w:rsid w:val="00633080"/>
    <w:rsid w:val="006335CE"/>
    <w:rsid w:val="006338C3"/>
    <w:rsid w:val="00633B63"/>
    <w:rsid w:val="0063427A"/>
    <w:rsid w:val="00634C3E"/>
    <w:rsid w:val="00635408"/>
    <w:rsid w:val="00635B2A"/>
    <w:rsid w:val="00635D64"/>
    <w:rsid w:val="006363A3"/>
    <w:rsid w:val="006370E3"/>
    <w:rsid w:val="00637D57"/>
    <w:rsid w:val="00640414"/>
    <w:rsid w:val="00640A88"/>
    <w:rsid w:val="00640B71"/>
    <w:rsid w:val="00640BF4"/>
    <w:rsid w:val="00640C63"/>
    <w:rsid w:val="00641BE4"/>
    <w:rsid w:val="00641FE6"/>
    <w:rsid w:val="006424F2"/>
    <w:rsid w:val="00642C1E"/>
    <w:rsid w:val="00642FFB"/>
    <w:rsid w:val="00643145"/>
    <w:rsid w:val="006439A2"/>
    <w:rsid w:val="00643E5A"/>
    <w:rsid w:val="00643EAF"/>
    <w:rsid w:val="006440A8"/>
    <w:rsid w:val="0064461D"/>
    <w:rsid w:val="00644A0C"/>
    <w:rsid w:val="00644F21"/>
    <w:rsid w:val="006459ED"/>
    <w:rsid w:val="00645AB6"/>
    <w:rsid w:val="006461AC"/>
    <w:rsid w:val="0064665D"/>
    <w:rsid w:val="006468C7"/>
    <w:rsid w:val="00646C8E"/>
    <w:rsid w:val="0064718F"/>
    <w:rsid w:val="006475E6"/>
    <w:rsid w:val="0065036D"/>
    <w:rsid w:val="00650679"/>
    <w:rsid w:val="00650C2F"/>
    <w:rsid w:val="00650C56"/>
    <w:rsid w:val="00650D0B"/>
    <w:rsid w:val="00651128"/>
    <w:rsid w:val="00651E7C"/>
    <w:rsid w:val="006521C1"/>
    <w:rsid w:val="006522A6"/>
    <w:rsid w:val="00652B75"/>
    <w:rsid w:val="00653C3E"/>
    <w:rsid w:val="00653D23"/>
    <w:rsid w:val="006542F2"/>
    <w:rsid w:val="006546C1"/>
    <w:rsid w:val="0065519C"/>
    <w:rsid w:val="00655A91"/>
    <w:rsid w:val="00655E47"/>
    <w:rsid w:val="006564FA"/>
    <w:rsid w:val="0065764D"/>
    <w:rsid w:val="006576BF"/>
    <w:rsid w:val="00657849"/>
    <w:rsid w:val="00657F02"/>
    <w:rsid w:val="00660303"/>
    <w:rsid w:val="00660E71"/>
    <w:rsid w:val="00660FA8"/>
    <w:rsid w:val="00661A66"/>
    <w:rsid w:val="00661CA8"/>
    <w:rsid w:val="00661E57"/>
    <w:rsid w:val="00662E6B"/>
    <w:rsid w:val="00663669"/>
    <w:rsid w:val="006638FB"/>
    <w:rsid w:val="006641F1"/>
    <w:rsid w:val="0066423D"/>
    <w:rsid w:val="006647E4"/>
    <w:rsid w:val="0066515F"/>
    <w:rsid w:val="00665309"/>
    <w:rsid w:val="006660D4"/>
    <w:rsid w:val="00667041"/>
    <w:rsid w:val="00667055"/>
    <w:rsid w:val="006670FC"/>
    <w:rsid w:val="006677AD"/>
    <w:rsid w:val="006678DA"/>
    <w:rsid w:val="00670446"/>
    <w:rsid w:val="006704EA"/>
    <w:rsid w:val="0067075B"/>
    <w:rsid w:val="00670D8E"/>
    <w:rsid w:val="00670EDC"/>
    <w:rsid w:val="006710FB"/>
    <w:rsid w:val="006715A6"/>
    <w:rsid w:val="0067192D"/>
    <w:rsid w:val="00671C53"/>
    <w:rsid w:val="00671CB6"/>
    <w:rsid w:val="00671DFF"/>
    <w:rsid w:val="00672728"/>
    <w:rsid w:val="0067280D"/>
    <w:rsid w:val="0067285D"/>
    <w:rsid w:val="00672912"/>
    <w:rsid w:val="00673394"/>
    <w:rsid w:val="006735E1"/>
    <w:rsid w:val="00673796"/>
    <w:rsid w:val="00673F40"/>
    <w:rsid w:val="006743B5"/>
    <w:rsid w:val="006746E5"/>
    <w:rsid w:val="00674ABF"/>
    <w:rsid w:val="00674B82"/>
    <w:rsid w:val="00674BFE"/>
    <w:rsid w:val="00675722"/>
    <w:rsid w:val="0067591B"/>
    <w:rsid w:val="00675E2B"/>
    <w:rsid w:val="0067615F"/>
    <w:rsid w:val="00676776"/>
    <w:rsid w:val="00676860"/>
    <w:rsid w:val="00676B7B"/>
    <w:rsid w:val="00676C18"/>
    <w:rsid w:val="0067702C"/>
    <w:rsid w:val="00677226"/>
    <w:rsid w:val="006772FC"/>
    <w:rsid w:val="00677603"/>
    <w:rsid w:val="006777EB"/>
    <w:rsid w:val="006807AE"/>
    <w:rsid w:val="00680901"/>
    <w:rsid w:val="00680AD5"/>
    <w:rsid w:val="006819C5"/>
    <w:rsid w:val="0068205B"/>
    <w:rsid w:val="0068234A"/>
    <w:rsid w:val="006823C4"/>
    <w:rsid w:val="006824BE"/>
    <w:rsid w:val="00682664"/>
    <w:rsid w:val="0068266A"/>
    <w:rsid w:val="006826A8"/>
    <w:rsid w:val="00682802"/>
    <w:rsid w:val="006828BC"/>
    <w:rsid w:val="00682DCE"/>
    <w:rsid w:val="00683473"/>
    <w:rsid w:val="0068395A"/>
    <w:rsid w:val="00683A20"/>
    <w:rsid w:val="00683C5C"/>
    <w:rsid w:val="00683F2A"/>
    <w:rsid w:val="00684FA7"/>
    <w:rsid w:val="00685359"/>
    <w:rsid w:val="00685551"/>
    <w:rsid w:val="00685934"/>
    <w:rsid w:val="006859B5"/>
    <w:rsid w:val="0068667B"/>
    <w:rsid w:val="00686A5E"/>
    <w:rsid w:val="00686F7C"/>
    <w:rsid w:val="0068709B"/>
    <w:rsid w:val="006876D2"/>
    <w:rsid w:val="00687AC8"/>
    <w:rsid w:val="00687D2E"/>
    <w:rsid w:val="006908C2"/>
    <w:rsid w:val="00690E8D"/>
    <w:rsid w:val="00691137"/>
    <w:rsid w:val="00691DAD"/>
    <w:rsid w:val="0069218D"/>
    <w:rsid w:val="0069259C"/>
    <w:rsid w:val="006929AB"/>
    <w:rsid w:val="006930A8"/>
    <w:rsid w:val="00693267"/>
    <w:rsid w:val="006936C3"/>
    <w:rsid w:val="00693E3A"/>
    <w:rsid w:val="00694980"/>
    <w:rsid w:val="00695139"/>
    <w:rsid w:val="00695228"/>
    <w:rsid w:val="006953AD"/>
    <w:rsid w:val="00695503"/>
    <w:rsid w:val="0069588C"/>
    <w:rsid w:val="006964D8"/>
    <w:rsid w:val="00696894"/>
    <w:rsid w:val="00696A41"/>
    <w:rsid w:val="00696B1E"/>
    <w:rsid w:val="0069774D"/>
    <w:rsid w:val="006A147B"/>
    <w:rsid w:val="006A19A5"/>
    <w:rsid w:val="006A1B62"/>
    <w:rsid w:val="006A270A"/>
    <w:rsid w:val="006A2F9F"/>
    <w:rsid w:val="006A3DB2"/>
    <w:rsid w:val="006A3E9F"/>
    <w:rsid w:val="006A4139"/>
    <w:rsid w:val="006A4DC8"/>
    <w:rsid w:val="006A54D9"/>
    <w:rsid w:val="006A5BE2"/>
    <w:rsid w:val="006A69D0"/>
    <w:rsid w:val="006A6EC4"/>
    <w:rsid w:val="006A725B"/>
    <w:rsid w:val="006A7660"/>
    <w:rsid w:val="006B00D4"/>
    <w:rsid w:val="006B0451"/>
    <w:rsid w:val="006B0564"/>
    <w:rsid w:val="006B096F"/>
    <w:rsid w:val="006B106A"/>
    <w:rsid w:val="006B12CB"/>
    <w:rsid w:val="006B196E"/>
    <w:rsid w:val="006B2375"/>
    <w:rsid w:val="006B2989"/>
    <w:rsid w:val="006B2F75"/>
    <w:rsid w:val="006B2FD2"/>
    <w:rsid w:val="006B3059"/>
    <w:rsid w:val="006B40F8"/>
    <w:rsid w:val="006B4A27"/>
    <w:rsid w:val="006B4ADA"/>
    <w:rsid w:val="006B4C77"/>
    <w:rsid w:val="006B4FF2"/>
    <w:rsid w:val="006B504F"/>
    <w:rsid w:val="006B555D"/>
    <w:rsid w:val="006B5898"/>
    <w:rsid w:val="006B5E19"/>
    <w:rsid w:val="006B6183"/>
    <w:rsid w:val="006B649D"/>
    <w:rsid w:val="006B6AF7"/>
    <w:rsid w:val="006B6D79"/>
    <w:rsid w:val="006B782F"/>
    <w:rsid w:val="006C0C38"/>
    <w:rsid w:val="006C1411"/>
    <w:rsid w:val="006C1E24"/>
    <w:rsid w:val="006C2141"/>
    <w:rsid w:val="006C237A"/>
    <w:rsid w:val="006C2641"/>
    <w:rsid w:val="006C2658"/>
    <w:rsid w:val="006C2715"/>
    <w:rsid w:val="006C28C3"/>
    <w:rsid w:val="006C2F5F"/>
    <w:rsid w:val="006C3D59"/>
    <w:rsid w:val="006C3FD5"/>
    <w:rsid w:val="006C4E80"/>
    <w:rsid w:val="006C535F"/>
    <w:rsid w:val="006C542C"/>
    <w:rsid w:val="006C5C59"/>
    <w:rsid w:val="006C5CF4"/>
    <w:rsid w:val="006C5E53"/>
    <w:rsid w:val="006C6EF2"/>
    <w:rsid w:val="006C7841"/>
    <w:rsid w:val="006C7A2E"/>
    <w:rsid w:val="006C7C98"/>
    <w:rsid w:val="006D05A6"/>
    <w:rsid w:val="006D0728"/>
    <w:rsid w:val="006D0AD8"/>
    <w:rsid w:val="006D165E"/>
    <w:rsid w:val="006D23D4"/>
    <w:rsid w:val="006D2630"/>
    <w:rsid w:val="006D26A8"/>
    <w:rsid w:val="006D2917"/>
    <w:rsid w:val="006D2A0E"/>
    <w:rsid w:val="006D2F3E"/>
    <w:rsid w:val="006D3555"/>
    <w:rsid w:val="006D3A8F"/>
    <w:rsid w:val="006D4601"/>
    <w:rsid w:val="006D4CD2"/>
    <w:rsid w:val="006D5309"/>
    <w:rsid w:val="006D54F2"/>
    <w:rsid w:val="006D5A21"/>
    <w:rsid w:val="006D5A54"/>
    <w:rsid w:val="006D7C9D"/>
    <w:rsid w:val="006D7CA4"/>
    <w:rsid w:val="006D7DEC"/>
    <w:rsid w:val="006E0110"/>
    <w:rsid w:val="006E08A3"/>
    <w:rsid w:val="006E0C19"/>
    <w:rsid w:val="006E1460"/>
    <w:rsid w:val="006E1471"/>
    <w:rsid w:val="006E1B92"/>
    <w:rsid w:val="006E1C1D"/>
    <w:rsid w:val="006E264B"/>
    <w:rsid w:val="006E2A69"/>
    <w:rsid w:val="006E2D88"/>
    <w:rsid w:val="006E2FD7"/>
    <w:rsid w:val="006E3108"/>
    <w:rsid w:val="006E31B2"/>
    <w:rsid w:val="006E36DC"/>
    <w:rsid w:val="006E3705"/>
    <w:rsid w:val="006E43B5"/>
    <w:rsid w:val="006E493E"/>
    <w:rsid w:val="006E4E79"/>
    <w:rsid w:val="006E52C6"/>
    <w:rsid w:val="006E52EB"/>
    <w:rsid w:val="006E5481"/>
    <w:rsid w:val="006E619E"/>
    <w:rsid w:val="006E6453"/>
    <w:rsid w:val="006E6460"/>
    <w:rsid w:val="006E6FB9"/>
    <w:rsid w:val="006E7AF5"/>
    <w:rsid w:val="006F0029"/>
    <w:rsid w:val="006F088B"/>
    <w:rsid w:val="006F0ABF"/>
    <w:rsid w:val="006F0B68"/>
    <w:rsid w:val="006F0D7A"/>
    <w:rsid w:val="006F1936"/>
    <w:rsid w:val="006F1A2B"/>
    <w:rsid w:val="006F2045"/>
    <w:rsid w:val="006F2307"/>
    <w:rsid w:val="006F2A56"/>
    <w:rsid w:val="006F2C0C"/>
    <w:rsid w:val="006F2C70"/>
    <w:rsid w:val="006F304B"/>
    <w:rsid w:val="006F3234"/>
    <w:rsid w:val="006F3F32"/>
    <w:rsid w:val="006F4BA0"/>
    <w:rsid w:val="006F4DE2"/>
    <w:rsid w:val="006F5A30"/>
    <w:rsid w:val="006F68CE"/>
    <w:rsid w:val="006F716F"/>
    <w:rsid w:val="006F74F4"/>
    <w:rsid w:val="006F7796"/>
    <w:rsid w:val="006F7915"/>
    <w:rsid w:val="006F7B46"/>
    <w:rsid w:val="006F7EEE"/>
    <w:rsid w:val="006F7F14"/>
    <w:rsid w:val="00700114"/>
    <w:rsid w:val="007003C8"/>
    <w:rsid w:val="007006F1"/>
    <w:rsid w:val="00700A4E"/>
    <w:rsid w:val="00701655"/>
    <w:rsid w:val="00701B07"/>
    <w:rsid w:val="007024BB"/>
    <w:rsid w:val="0070274F"/>
    <w:rsid w:val="007029B0"/>
    <w:rsid w:val="00703501"/>
    <w:rsid w:val="00703AE9"/>
    <w:rsid w:val="00703DAD"/>
    <w:rsid w:val="00703DFB"/>
    <w:rsid w:val="00705580"/>
    <w:rsid w:val="00705A2C"/>
    <w:rsid w:val="00706325"/>
    <w:rsid w:val="007071AF"/>
    <w:rsid w:val="007071D3"/>
    <w:rsid w:val="007100A8"/>
    <w:rsid w:val="00710467"/>
    <w:rsid w:val="00710682"/>
    <w:rsid w:val="007109FC"/>
    <w:rsid w:val="00710B64"/>
    <w:rsid w:val="0071137C"/>
    <w:rsid w:val="00711586"/>
    <w:rsid w:val="007119F8"/>
    <w:rsid w:val="007121BA"/>
    <w:rsid w:val="007134F9"/>
    <w:rsid w:val="00713509"/>
    <w:rsid w:val="007137A5"/>
    <w:rsid w:val="00713E2B"/>
    <w:rsid w:val="00713F5E"/>
    <w:rsid w:val="00714124"/>
    <w:rsid w:val="007142F0"/>
    <w:rsid w:val="00714800"/>
    <w:rsid w:val="00714860"/>
    <w:rsid w:val="00714FD6"/>
    <w:rsid w:val="00715A77"/>
    <w:rsid w:val="00715FF4"/>
    <w:rsid w:val="00717B4B"/>
    <w:rsid w:val="00717CAC"/>
    <w:rsid w:val="0072039C"/>
    <w:rsid w:val="007203A8"/>
    <w:rsid w:val="007205D1"/>
    <w:rsid w:val="00720D6D"/>
    <w:rsid w:val="00720E39"/>
    <w:rsid w:val="00720FC1"/>
    <w:rsid w:val="00721188"/>
    <w:rsid w:val="00721F1E"/>
    <w:rsid w:val="007225B0"/>
    <w:rsid w:val="007227E8"/>
    <w:rsid w:val="007229E3"/>
    <w:rsid w:val="00723557"/>
    <w:rsid w:val="00723616"/>
    <w:rsid w:val="007237A7"/>
    <w:rsid w:val="00723C24"/>
    <w:rsid w:val="00724DCD"/>
    <w:rsid w:val="00725927"/>
    <w:rsid w:val="00725937"/>
    <w:rsid w:val="00725A0B"/>
    <w:rsid w:val="00725E49"/>
    <w:rsid w:val="00726E33"/>
    <w:rsid w:val="007274C8"/>
    <w:rsid w:val="00727797"/>
    <w:rsid w:val="00727EB7"/>
    <w:rsid w:val="00727F9A"/>
    <w:rsid w:val="007309CC"/>
    <w:rsid w:val="00730FAA"/>
    <w:rsid w:val="00731030"/>
    <w:rsid w:val="00731111"/>
    <w:rsid w:val="00731BD4"/>
    <w:rsid w:val="00731C05"/>
    <w:rsid w:val="0073200E"/>
    <w:rsid w:val="00732626"/>
    <w:rsid w:val="00732D30"/>
    <w:rsid w:val="00732F27"/>
    <w:rsid w:val="007338CA"/>
    <w:rsid w:val="007339E7"/>
    <w:rsid w:val="00733A04"/>
    <w:rsid w:val="00734DD7"/>
    <w:rsid w:val="00735222"/>
    <w:rsid w:val="00735626"/>
    <w:rsid w:val="007358BF"/>
    <w:rsid w:val="007358F0"/>
    <w:rsid w:val="00735A17"/>
    <w:rsid w:val="00735D2D"/>
    <w:rsid w:val="00735F28"/>
    <w:rsid w:val="007360E1"/>
    <w:rsid w:val="00736120"/>
    <w:rsid w:val="007362C8"/>
    <w:rsid w:val="007373AC"/>
    <w:rsid w:val="007374B1"/>
    <w:rsid w:val="00737DEE"/>
    <w:rsid w:val="00737EB5"/>
    <w:rsid w:val="007402F1"/>
    <w:rsid w:val="00741654"/>
    <w:rsid w:val="0074221C"/>
    <w:rsid w:val="0074295A"/>
    <w:rsid w:val="00742A3B"/>
    <w:rsid w:val="00743C5A"/>
    <w:rsid w:val="00743F22"/>
    <w:rsid w:val="007440AA"/>
    <w:rsid w:val="00744282"/>
    <w:rsid w:val="00744440"/>
    <w:rsid w:val="007451C3"/>
    <w:rsid w:val="007453A2"/>
    <w:rsid w:val="00745941"/>
    <w:rsid w:val="0074596C"/>
    <w:rsid w:val="007460EF"/>
    <w:rsid w:val="007474BB"/>
    <w:rsid w:val="00747CD9"/>
    <w:rsid w:val="00747EAB"/>
    <w:rsid w:val="00750326"/>
    <w:rsid w:val="00750605"/>
    <w:rsid w:val="007506A7"/>
    <w:rsid w:val="0075156C"/>
    <w:rsid w:val="0075164C"/>
    <w:rsid w:val="00751E4B"/>
    <w:rsid w:val="00751F3E"/>
    <w:rsid w:val="00751FD9"/>
    <w:rsid w:val="00752037"/>
    <w:rsid w:val="00752C2A"/>
    <w:rsid w:val="00752C36"/>
    <w:rsid w:val="0075346C"/>
    <w:rsid w:val="00753E2E"/>
    <w:rsid w:val="007545E3"/>
    <w:rsid w:val="00754C96"/>
    <w:rsid w:val="00754F5F"/>
    <w:rsid w:val="0075570D"/>
    <w:rsid w:val="007563E5"/>
    <w:rsid w:val="00757435"/>
    <w:rsid w:val="00757786"/>
    <w:rsid w:val="00760062"/>
    <w:rsid w:val="007600BE"/>
    <w:rsid w:val="00760B7F"/>
    <w:rsid w:val="00760E5B"/>
    <w:rsid w:val="00761296"/>
    <w:rsid w:val="0076133C"/>
    <w:rsid w:val="0076166A"/>
    <w:rsid w:val="00761C9A"/>
    <w:rsid w:val="007624D5"/>
    <w:rsid w:val="00762B1B"/>
    <w:rsid w:val="0076341A"/>
    <w:rsid w:val="007639C0"/>
    <w:rsid w:val="00763B32"/>
    <w:rsid w:val="00763BF9"/>
    <w:rsid w:val="00764396"/>
    <w:rsid w:val="00764CDF"/>
    <w:rsid w:val="00765B26"/>
    <w:rsid w:val="00765C16"/>
    <w:rsid w:val="00766630"/>
    <w:rsid w:val="00766D3D"/>
    <w:rsid w:val="007670C1"/>
    <w:rsid w:val="00767108"/>
    <w:rsid w:val="00767C13"/>
    <w:rsid w:val="00767E9D"/>
    <w:rsid w:val="00770502"/>
    <w:rsid w:val="007705EA"/>
    <w:rsid w:val="00770947"/>
    <w:rsid w:val="00771291"/>
    <w:rsid w:val="00771617"/>
    <w:rsid w:val="0077199C"/>
    <w:rsid w:val="00771C61"/>
    <w:rsid w:val="007729DC"/>
    <w:rsid w:val="007736F4"/>
    <w:rsid w:val="007737A6"/>
    <w:rsid w:val="00773837"/>
    <w:rsid w:val="00774479"/>
    <w:rsid w:val="00774676"/>
    <w:rsid w:val="00774BFB"/>
    <w:rsid w:val="00775180"/>
    <w:rsid w:val="00776291"/>
    <w:rsid w:val="007766E9"/>
    <w:rsid w:val="00777ADF"/>
    <w:rsid w:val="00777C7D"/>
    <w:rsid w:val="0078035D"/>
    <w:rsid w:val="00780693"/>
    <w:rsid w:val="007806D8"/>
    <w:rsid w:val="00780B80"/>
    <w:rsid w:val="0078110D"/>
    <w:rsid w:val="0078117D"/>
    <w:rsid w:val="00782904"/>
    <w:rsid w:val="00782935"/>
    <w:rsid w:val="00782EEF"/>
    <w:rsid w:val="007832B0"/>
    <w:rsid w:val="007834FB"/>
    <w:rsid w:val="007836D7"/>
    <w:rsid w:val="00783B95"/>
    <w:rsid w:val="00784235"/>
    <w:rsid w:val="00784456"/>
    <w:rsid w:val="0078445E"/>
    <w:rsid w:val="007847A4"/>
    <w:rsid w:val="00784DBF"/>
    <w:rsid w:val="00784E05"/>
    <w:rsid w:val="00785193"/>
    <w:rsid w:val="007856F4"/>
    <w:rsid w:val="00785E15"/>
    <w:rsid w:val="0078612A"/>
    <w:rsid w:val="007867BA"/>
    <w:rsid w:val="00786C19"/>
    <w:rsid w:val="00787A42"/>
    <w:rsid w:val="00787D85"/>
    <w:rsid w:val="00790D28"/>
    <w:rsid w:val="00790FE4"/>
    <w:rsid w:val="007916A2"/>
    <w:rsid w:val="007917C0"/>
    <w:rsid w:val="00791A5C"/>
    <w:rsid w:val="0079248F"/>
    <w:rsid w:val="00792F3C"/>
    <w:rsid w:val="00792FAB"/>
    <w:rsid w:val="007938C8"/>
    <w:rsid w:val="00793B25"/>
    <w:rsid w:val="00793E30"/>
    <w:rsid w:val="007941B2"/>
    <w:rsid w:val="007944C0"/>
    <w:rsid w:val="007947B3"/>
    <w:rsid w:val="00794F09"/>
    <w:rsid w:val="00795778"/>
    <w:rsid w:val="00795A92"/>
    <w:rsid w:val="0079613F"/>
    <w:rsid w:val="00796961"/>
    <w:rsid w:val="007A0FA1"/>
    <w:rsid w:val="007A1161"/>
    <w:rsid w:val="007A22EF"/>
    <w:rsid w:val="007A2D43"/>
    <w:rsid w:val="007A2E3E"/>
    <w:rsid w:val="007A2F2E"/>
    <w:rsid w:val="007A307D"/>
    <w:rsid w:val="007A35D3"/>
    <w:rsid w:val="007A386D"/>
    <w:rsid w:val="007A3C0B"/>
    <w:rsid w:val="007A4501"/>
    <w:rsid w:val="007A46F3"/>
    <w:rsid w:val="007A47FA"/>
    <w:rsid w:val="007A599D"/>
    <w:rsid w:val="007A5B2D"/>
    <w:rsid w:val="007A5C4A"/>
    <w:rsid w:val="007A5CFE"/>
    <w:rsid w:val="007A5EA2"/>
    <w:rsid w:val="007A62A5"/>
    <w:rsid w:val="007A639A"/>
    <w:rsid w:val="007A65CC"/>
    <w:rsid w:val="007A6677"/>
    <w:rsid w:val="007A66DB"/>
    <w:rsid w:val="007A6B67"/>
    <w:rsid w:val="007A6E40"/>
    <w:rsid w:val="007B02C8"/>
    <w:rsid w:val="007B0440"/>
    <w:rsid w:val="007B054A"/>
    <w:rsid w:val="007B0D90"/>
    <w:rsid w:val="007B0EC4"/>
    <w:rsid w:val="007B1493"/>
    <w:rsid w:val="007B1CAE"/>
    <w:rsid w:val="007B250C"/>
    <w:rsid w:val="007B2610"/>
    <w:rsid w:val="007B2FC5"/>
    <w:rsid w:val="007B339B"/>
    <w:rsid w:val="007B366F"/>
    <w:rsid w:val="007B37D5"/>
    <w:rsid w:val="007B3860"/>
    <w:rsid w:val="007B43D0"/>
    <w:rsid w:val="007B53CB"/>
    <w:rsid w:val="007B57BC"/>
    <w:rsid w:val="007B5985"/>
    <w:rsid w:val="007B5CB4"/>
    <w:rsid w:val="007B662A"/>
    <w:rsid w:val="007B6C17"/>
    <w:rsid w:val="007B6D20"/>
    <w:rsid w:val="007B73EB"/>
    <w:rsid w:val="007B784A"/>
    <w:rsid w:val="007B79D9"/>
    <w:rsid w:val="007B7ABC"/>
    <w:rsid w:val="007C0489"/>
    <w:rsid w:val="007C0FB6"/>
    <w:rsid w:val="007C1885"/>
    <w:rsid w:val="007C197F"/>
    <w:rsid w:val="007C1FC7"/>
    <w:rsid w:val="007C221B"/>
    <w:rsid w:val="007C22A0"/>
    <w:rsid w:val="007C269D"/>
    <w:rsid w:val="007C2946"/>
    <w:rsid w:val="007C29A4"/>
    <w:rsid w:val="007C2FA7"/>
    <w:rsid w:val="007C374B"/>
    <w:rsid w:val="007C4020"/>
    <w:rsid w:val="007C4C77"/>
    <w:rsid w:val="007C4EED"/>
    <w:rsid w:val="007C5A0F"/>
    <w:rsid w:val="007C5A25"/>
    <w:rsid w:val="007C602A"/>
    <w:rsid w:val="007C6966"/>
    <w:rsid w:val="007C698A"/>
    <w:rsid w:val="007C73B3"/>
    <w:rsid w:val="007C7D27"/>
    <w:rsid w:val="007D046C"/>
    <w:rsid w:val="007D10BF"/>
    <w:rsid w:val="007D1166"/>
    <w:rsid w:val="007D1243"/>
    <w:rsid w:val="007D1BC4"/>
    <w:rsid w:val="007D24D9"/>
    <w:rsid w:val="007D2543"/>
    <w:rsid w:val="007D28D8"/>
    <w:rsid w:val="007D2E67"/>
    <w:rsid w:val="007D3BCC"/>
    <w:rsid w:val="007D3D91"/>
    <w:rsid w:val="007D3F88"/>
    <w:rsid w:val="007D4123"/>
    <w:rsid w:val="007D42DC"/>
    <w:rsid w:val="007D437B"/>
    <w:rsid w:val="007D50D6"/>
    <w:rsid w:val="007D6317"/>
    <w:rsid w:val="007D66A0"/>
    <w:rsid w:val="007D6981"/>
    <w:rsid w:val="007D6FF4"/>
    <w:rsid w:val="007D7397"/>
    <w:rsid w:val="007D7418"/>
    <w:rsid w:val="007D7CD0"/>
    <w:rsid w:val="007D7E52"/>
    <w:rsid w:val="007E02D9"/>
    <w:rsid w:val="007E02F2"/>
    <w:rsid w:val="007E0470"/>
    <w:rsid w:val="007E05C6"/>
    <w:rsid w:val="007E0C92"/>
    <w:rsid w:val="007E1026"/>
    <w:rsid w:val="007E1155"/>
    <w:rsid w:val="007E11F1"/>
    <w:rsid w:val="007E15BB"/>
    <w:rsid w:val="007E16FD"/>
    <w:rsid w:val="007E18E6"/>
    <w:rsid w:val="007E19B4"/>
    <w:rsid w:val="007E1B07"/>
    <w:rsid w:val="007E2096"/>
    <w:rsid w:val="007E20A6"/>
    <w:rsid w:val="007E2648"/>
    <w:rsid w:val="007E2906"/>
    <w:rsid w:val="007E2C3F"/>
    <w:rsid w:val="007E2D97"/>
    <w:rsid w:val="007E2F56"/>
    <w:rsid w:val="007E3234"/>
    <w:rsid w:val="007E3246"/>
    <w:rsid w:val="007E4150"/>
    <w:rsid w:val="007E4682"/>
    <w:rsid w:val="007E4C77"/>
    <w:rsid w:val="007E5232"/>
    <w:rsid w:val="007E548B"/>
    <w:rsid w:val="007E595A"/>
    <w:rsid w:val="007E5D49"/>
    <w:rsid w:val="007E6379"/>
    <w:rsid w:val="007E671C"/>
    <w:rsid w:val="007E7172"/>
    <w:rsid w:val="007E759F"/>
    <w:rsid w:val="007E7705"/>
    <w:rsid w:val="007E79DA"/>
    <w:rsid w:val="007E7D75"/>
    <w:rsid w:val="007F0021"/>
    <w:rsid w:val="007F0634"/>
    <w:rsid w:val="007F0A2B"/>
    <w:rsid w:val="007F0D4D"/>
    <w:rsid w:val="007F15AD"/>
    <w:rsid w:val="007F2BBD"/>
    <w:rsid w:val="007F3620"/>
    <w:rsid w:val="007F36E2"/>
    <w:rsid w:val="007F3BD8"/>
    <w:rsid w:val="007F3CE0"/>
    <w:rsid w:val="007F3F5A"/>
    <w:rsid w:val="007F4025"/>
    <w:rsid w:val="007F4102"/>
    <w:rsid w:val="007F4344"/>
    <w:rsid w:val="007F435C"/>
    <w:rsid w:val="007F476A"/>
    <w:rsid w:val="007F55F4"/>
    <w:rsid w:val="007F56C5"/>
    <w:rsid w:val="007F5BA3"/>
    <w:rsid w:val="007F6396"/>
    <w:rsid w:val="007F63FA"/>
    <w:rsid w:val="007F67D2"/>
    <w:rsid w:val="007F68DD"/>
    <w:rsid w:val="007F761B"/>
    <w:rsid w:val="007F76EB"/>
    <w:rsid w:val="007F79EF"/>
    <w:rsid w:val="007F7B65"/>
    <w:rsid w:val="0080043D"/>
    <w:rsid w:val="0080074D"/>
    <w:rsid w:val="008007E0"/>
    <w:rsid w:val="00800CC9"/>
    <w:rsid w:val="00800F1C"/>
    <w:rsid w:val="00801241"/>
    <w:rsid w:val="00801BB9"/>
    <w:rsid w:val="0080208B"/>
    <w:rsid w:val="0080261D"/>
    <w:rsid w:val="00802626"/>
    <w:rsid w:val="008030FB"/>
    <w:rsid w:val="0080336C"/>
    <w:rsid w:val="00803919"/>
    <w:rsid w:val="00803A99"/>
    <w:rsid w:val="00803CBC"/>
    <w:rsid w:val="008040D4"/>
    <w:rsid w:val="008045E1"/>
    <w:rsid w:val="00804AD4"/>
    <w:rsid w:val="0080566B"/>
    <w:rsid w:val="00805886"/>
    <w:rsid w:val="0080614F"/>
    <w:rsid w:val="00806CF7"/>
    <w:rsid w:val="00807117"/>
    <w:rsid w:val="008077E7"/>
    <w:rsid w:val="008078B4"/>
    <w:rsid w:val="008104B8"/>
    <w:rsid w:val="00810855"/>
    <w:rsid w:val="008108C1"/>
    <w:rsid w:val="00810C00"/>
    <w:rsid w:val="00810FEE"/>
    <w:rsid w:val="008110A0"/>
    <w:rsid w:val="008110E5"/>
    <w:rsid w:val="0081180E"/>
    <w:rsid w:val="00811D26"/>
    <w:rsid w:val="008121A6"/>
    <w:rsid w:val="00812608"/>
    <w:rsid w:val="008129F8"/>
    <w:rsid w:val="00812AE8"/>
    <w:rsid w:val="00812BD1"/>
    <w:rsid w:val="0081335C"/>
    <w:rsid w:val="00813452"/>
    <w:rsid w:val="008139E7"/>
    <w:rsid w:val="00813B81"/>
    <w:rsid w:val="00813B8E"/>
    <w:rsid w:val="00813C82"/>
    <w:rsid w:val="0081463A"/>
    <w:rsid w:val="00815B3F"/>
    <w:rsid w:val="00815DBA"/>
    <w:rsid w:val="008163CE"/>
    <w:rsid w:val="00816DB6"/>
    <w:rsid w:val="00817005"/>
    <w:rsid w:val="00817078"/>
    <w:rsid w:val="008173D1"/>
    <w:rsid w:val="008175BD"/>
    <w:rsid w:val="00817946"/>
    <w:rsid w:val="00817ED9"/>
    <w:rsid w:val="00821092"/>
    <w:rsid w:val="0082152C"/>
    <w:rsid w:val="00821726"/>
    <w:rsid w:val="0082184D"/>
    <w:rsid w:val="00821891"/>
    <w:rsid w:val="00821943"/>
    <w:rsid w:val="00821FA0"/>
    <w:rsid w:val="008229BA"/>
    <w:rsid w:val="00822C8A"/>
    <w:rsid w:val="008243B4"/>
    <w:rsid w:val="00824F8D"/>
    <w:rsid w:val="00825424"/>
    <w:rsid w:val="00825EED"/>
    <w:rsid w:val="00826563"/>
    <w:rsid w:val="00827C7A"/>
    <w:rsid w:val="00827E46"/>
    <w:rsid w:val="00830206"/>
    <w:rsid w:val="00830D55"/>
    <w:rsid w:val="00831032"/>
    <w:rsid w:val="00831173"/>
    <w:rsid w:val="008314FC"/>
    <w:rsid w:val="00832279"/>
    <w:rsid w:val="00832B44"/>
    <w:rsid w:val="00833567"/>
    <w:rsid w:val="008337E4"/>
    <w:rsid w:val="00833806"/>
    <w:rsid w:val="00833AE8"/>
    <w:rsid w:val="0083412B"/>
    <w:rsid w:val="00835625"/>
    <w:rsid w:val="008357A2"/>
    <w:rsid w:val="00835873"/>
    <w:rsid w:val="00835936"/>
    <w:rsid w:val="008359D1"/>
    <w:rsid w:val="0083652F"/>
    <w:rsid w:val="00836B3C"/>
    <w:rsid w:val="00836E0E"/>
    <w:rsid w:val="00837179"/>
    <w:rsid w:val="00837382"/>
    <w:rsid w:val="0083747B"/>
    <w:rsid w:val="00837C74"/>
    <w:rsid w:val="00837F3B"/>
    <w:rsid w:val="00840034"/>
    <w:rsid w:val="00840C39"/>
    <w:rsid w:val="008418E3"/>
    <w:rsid w:val="00841944"/>
    <w:rsid w:val="00841B6E"/>
    <w:rsid w:val="008421D3"/>
    <w:rsid w:val="0084243A"/>
    <w:rsid w:val="00842478"/>
    <w:rsid w:val="0084247E"/>
    <w:rsid w:val="00842A95"/>
    <w:rsid w:val="0084336D"/>
    <w:rsid w:val="0084342A"/>
    <w:rsid w:val="0084364B"/>
    <w:rsid w:val="0084374E"/>
    <w:rsid w:val="008437FA"/>
    <w:rsid w:val="008439D4"/>
    <w:rsid w:val="00844459"/>
    <w:rsid w:val="008444FB"/>
    <w:rsid w:val="008448E6"/>
    <w:rsid w:val="00844C0E"/>
    <w:rsid w:val="00845233"/>
    <w:rsid w:val="00845B61"/>
    <w:rsid w:val="008460F9"/>
    <w:rsid w:val="00846621"/>
    <w:rsid w:val="008469AA"/>
    <w:rsid w:val="00846E96"/>
    <w:rsid w:val="00846EAA"/>
    <w:rsid w:val="0084739E"/>
    <w:rsid w:val="008474F8"/>
    <w:rsid w:val="0084752F"/>
    <w:rsid w:val="00847B62"/>
    <w:rsid w:val="00847C5A"/>
    <w:rsid w:val="00850A90"/>
    <w:rsid w:val="00850EDF"/>
    <w:rsid w:val="00851BD1"/>
    <w:rsid w:val="00851ECC"/>
    <w:rsid w:val="00851EFA"/>
    <w:rsid w:val="00852B1D"/>
    <w:rsid w:val="00853062"/>
    <w:rsid w:val="008534D4"/>
    <w:rsid w:val="00853A75"/>
    <w:rsid w:val="008544CC"/>
    <w:rsid w:val="008544FC"/>
    <w:rsid w:val="0085452E"/>
    <w:rsid w:val="00854629"/>
    <w:rsid w:val="00854C9F"/>
    <w:rsid w:val="0085519E"/>
    <w:rsid w:val="00855529"/>
    <w:rsid w:val="00855E19"/>
    <w:rsid w:val="00855E24"/>
    <w:rsid w:val="00855F47"/>
    <w:rsid w:val="00856615"/>
    <w:rsid w:val="00856B2E"/>
    <w:rsid w:val="00857164"/>
    <w:rsid w:val="00857574"/>
    <w:rsid w:val="008577A6"/>
    <w:rsid w:val="00857B71"/>
    <w:rsid w:val="00857E14"/>
    <w:rsid w:val="0086048D"/>
    <w:rsid w:val="00860952"/>
    <w:rsid w:val="00860973"/>
    <w:rsid w:val="00860C20"/>
    <w:rsid w:val="00861D72"/>
    <w:rsid w:val="008621CC"/>
    <w:rsid w:val="008622EE"/>
    <w:rsid w:val="0086230D"/>
    <w:rsid w:val="00862946"/>
    <w:rsid w:val="00862B11"/>
    <w:rsid w:val="00862C42"/>
    <w:rsid w:val="00863264"/>
    <w:rsid w:val="00864235"/>
    <w:rsid w:val="008648EA"/>
    <w:rsid w:val="008654B5"/>
    <w:rsid w:val="00865AB6"/>
    <w:rsid w:val="008662C5"/>
    <w:rsid w:val="00866615"/>
    <w:rsid w:val="00866E3E"/>
    <w:rsid w:val="00867617"/>
    <w:rsid w:val="00867AA6"/>
    <w:rsid w:val="00867CEC"/>
    <w:rsid w:val="00867E41"/>
    <w:rsid w:val="008704A1"/>
    <w:rsid w:val="0087150F"/>
    <w:rsid w:val="00871566"/>
    <w:rsid w:val="00871BF8"/>
    <w:rsid w:val="008721E9"/>
    <w:rsid w:val="008724DB"/>
    <w:rsid w:val="0087260B"/>
    <w:rsid w:val="00872719"/>
    <w:rsid w:val="008727D8"/>
    <w:rsid w:val="00872C64"/>
    <w:rsid w:val="00872C6D"/>
    <w:rsid w:val="00872E3D"/>
    <w:rsid w:val="00873849"/>
    <w:rsid w:val="00873E35"/>
    <w:rsid w:val="00874409"/>
    <w:rsid w:val="0087472E"/>
    <w:rsid w:val="00874B8A"/>
    <w:rsid w:val="00874EAC"/>
    <w:rsid w:val="008752FD"/>
    <w:rsid w:val="00875BFF"/>
    <w:rsid w:val="008767DE"/>
    <w:rsid w:val="00876CC1"/>
    <w:rsid w:val="00877264"/>
    <w:rsid w:val="008772A2"/>
    <w:rsid w:val="00877F88"/>
    <w:rsid w:val="0088014E"/>
    <w:rsid w:val="008807D2"/>
    <w:rsid w:val="00880BEC"/>
    <w:rsid w:val="00880C2D"/>
    <w:rsid w:val="00881456"/>
    <w:rsid w:val="00882647"/>
    <w:rsid w:val="00882755"/>
    <w:rsid w:val="008834D1"/>
    <w:rsid w:val="00884779"/>
    <w:rsid w:val="00884798"/>
    <w:rsid w:val="008849D0"/>
    <w:rsid w:val="00884FF7"/>
    <w:rsid w:val="00886373"/>
    <w:rsid w:val="0088669D"/>
    <w:rsid w:val="00886EE9"/>
    <w:rsid w:val="008870F4"/>
    <w:rsid w:val="008872E9"/>
    <w:rsid w:val="00887A11"/>
    <w:rsid w:val="00887AFE"/>
    <w:rsid w:val="00887C6C"/>
    <w:rsid w:val="00890914"/>
    <w:rsid w:val="00890A91"/>
    <w:rsid w:val="0089164D"/>
    <w:rsid w:val="00891953"/>
    <w:rsid w:val="00891BA7"/>
    <w:rsid w:val="008925D4"/>
    <w:rsid w:val="00892682"/>
    <w:rsid w:val="008927A0"/>
    <w:rsid w:val="00894301"/>
    <w:rsid w:val="008947E0"/>
    <w:rsid w:val="00894CAE"/>
    <w:rsid w:val="00894ED2"/>
    <w:rsid w:val="00895429"/>
    <w:rsid w:val="00895E7C"/>
    <w:rsid w:val="0089629B"/>
    <w:rsid w:val="008964E1"/>
    <w:rsid w:val="008964E6"/>
    <w:rsid w:val="00896AEE"/>
    <w:rsid w:val="00896F10"/>
    <w:rsid w:val="00896F43"/>
    <w:rsid w:val="008970D2"/>
    <w:rsid w:val="00897150"/>
    <w:rsid w:val="00897396"/>
    <w:rsid w:val="00897655"/>
    <w:rsid w:val="00897A85"/>
    <w:rsid w:val="00897E02"/>
    <w:rsid w:val="00897EC0"/>
    <w:rsid w:val="00897FD5"/>
    <w:rsid w:val="008A060E"/>
    <w:rsid w:val="008A0684"/>
    <w:rsid w:val="008A06AA"/>
    <w:rsid w:val="008A0723"/>
    <w:rsid w:val="008A080C"/>
    <w:rsid w:val="008A08EC"/>
    <w:rsid w:val="008A1650"/>
    <w:rsid w:val="008A1669"/>
    <w:rsid w:val="008A17A2"/>
    <w:rsid w:val="008A1BE2"/>
    <w:rsid w:val="008A219B"/>
    <w:rsid w:val="008A27EC"/>
    <w:rsid w:val="008A2F3A"/>
    <w:rsid w:val="008A34BE"/>
    <w:rsid w:val="008A37B1"/>
    <w:rsid w:val="008A4D07"/>
    <w:rsid w:val="008A4EED"/>
    <w:rsid w:val="008A559D"/>
    <w:rsid w:val="008A58DC"/>
    <w:rsid w:val="008A594A"/>
    <w:rsid w:val="008A5D80"/>
    <w:rsid w:val="008A5D91"/>
    <w:rsid w:val="008A70B5"/>
    <w:rsid w:val="008A712F"/>
    <w:rsid w:val="008A7AF9"/>
    <w:rsid w:val="008B0006"/>
    <w:rsid w:val="008B0223"/>
    <w:rsid w:val="008B044F"/>
    <w:rsid w:val="008B0673"/>
    <w:rsid w:val="008B094A"/>
    <w:rsid w:val="008B0A6F"/>
    <w:rsid w:val="008B25E8"/>
    <w:rsid w:val="008B3281"/>
    <w:rsid w:val="008B3641"/>
    <w:rsid w:val="008B3A40"/>
    <w:rsid w:val="008B3E02"/>
    <w:rsid w:val="008B434E"/>
    <w:rsid w:val="008B46F2"/>
    <w:rsid w:val="008B519D"/>
    <w:rsid w:val="008B5344"/>
    <w:rsid w:val="008B5381"/>
    <w:rsid w:val="008B5C28"/>
    <w:rsid w:val="008B5F04"/>
    <w:rsid w:val="008B677D"/>
    <w:rsid w:val="008B6899"/>
    <w:rsid w:val="008B6DD7"/>
    <w:rsid w:val="008B72DB"/>
    <w:rsid w:val="008B7CB5"/>
    <w:rsid w:val="008C0534"/>
    <w:rsid w:val="008C0793"/>
    <w:rsid w:val="008C0C6C"/>
    <w:rsid w:val="008C15D1"/>
    <w:rsid w:val="008C182F"/>
    <w:rsid w:val="008C1FA1"/>
    <w:rsid w:val="008C24BB"/>
    <w:rsid w:val="008C27F9"/>
    <w:rsid w:val="008C2955"/>
    <w:rsid w:val="008C2D5B"/>
    <w:rsid w:val="008C338E"/>
    <w:rsid w:val="008C357A"/>
    <w:rsid w:val="008C3F3A"/>
    <w:rsid w:val="008C4224"/>
    <w:rsid w:val="008C4285"/>
    <w:rsid w:val="008C47CA"/>
    <w:rsid w:val="008C4AD7"/>
    <w:rsid w:val="008C4BA0"/>
    <w:rsid w:val="008C4E4D"/>
    <w:rsid w:val="008C5580"/>
    <w:rsid w:val="008C582E"/>
    <w:rsid w:val="008C5C7C"/>
    <w:rsid w:val="008C6478"/>
    <w:rsid w:val="008C672A"/>
    <w:rsid w:val="008C6DBB"/>
    <w:rsid w:val="008C6F1D"/>
    <w:rsid w:val="008C7996"/>
    <w:rsid w:val="008C7AB2"/>
    <w:rsid w:val="008C7D00"/>
    <w:rsid w:val="008D0636"/>
    <w:rsid w:val="008D0EA8"/>
    <w:rsid w:val="008D21BA"/>
    <w:rsid w:val="008D2593"/>
    <w:rsid w:val="008D356F"/>
    <w:rsid w:val="008D3D67"/>
    <w:rsid w:val="008D3FB5"/>
    <w:rsid w:val="008D408E"/>
    <w:rsid w:val="008D4330"/>
    <w:rsid w:val="008D4370"/>
    <w:rsid w:val="008D49FA"/>
    <w:rsid w:val="008D4CB3"/>
    <w:rsid w:val="008D4DCA"/>
    <w:rsid w:val="008D54B3"/>
    <w:rsid w:val="008D5590"/>
    <w:rsid w:val="008D5B8D"/>
    <w:rsid w:val="008D6346"/>
    <w:rsid w:val="008D646A"/>
    <w:rsid w:val="008D6623"/>
    <w:rsid w:val="008D7885"/>
    <w:rsid w:val="008E010B"/>
    <w:rsid w:val="008E0EC6"/>
    <w:rsid w:val="008E130C"/>
    <w:rsid w:val="008E1B9A"/>
    <w:rsid w:val="008E1C62"/>
    <w:rsid w:val="008E1F40"/>
    <w:rsid w:val="008E2B6D"/>
    <w:rsid w:val="008E2B7D"/>
    <w:rsid w:val="008E4819"/>
    <w:rsid w:val="008E4F4D"/>
    <w:rsid w:val="008E53C9"/>
    <w:rsid w:val="008E5422"/>
    <w:rsid w:val="008E5C0E"/>
    <w:rsid w:val="008E5C3B"/>
    <w:rsid w:val="008E5DD1"/>
    <w:rsid w:val="008E643E"/>
    <w:rsid w:val="008E691D"/>
    <w:rsid w:val="008E6BF5"/>
    <w:rsid w:val="008E6CD4"/>
    <w:rsid w:val="008E6D28"/>
    <w:rsid w:val="008E7486"/>
    <w:rsid w:val="008E7710"/>
    <w:rsid w:val="008E7D86"/>
    <w:rsid w:val="008F00B7"/>
    <w:rsid w:val="008F032C"/>
    <w:rsid w:val="008F118A"/>
    <w:rsid w:val="008F1209"/>
    <w:rsid w:val="008F196B"/>
    <w:rsid w:val="008F1A7A"/>
    <w:rsid w:val="008F1E49"/>
    <w:rsid w:val="008F20DB"/>
    <w:rsid w:val="008F3324"/>
    <w:rsid w:val="008F3504"/>
    <w:rsid w:val="008F4BC9"/>
    <w:rsid w:val="008F4E08"/>
    <w:rsid w:val="008F4F07"/>
    <w:rsid w:val="008F502F"/>
    <w:rsid w:val="008F50C5"/>
    <w:rsid w:val="008F66CE"/>
    <w:rsid w:val="008F6C3B"/>
    <w:rsid w:val="008F7067"/>
    <w:rsid w:val="008F7567"/>
    <w:rsid w:val="008F75A0"/>
    <w:rsid w:val="008F79DC"/>
    <w:rsid w:val="008F7E93"/>
    <w:rsid w:val="00900648"/>
    <w:rsid w:val="00900AC5"/>
    <w:rsid w:val="00901292"/>
    <w:rsid w:val="009014DB"/>
    <w:rsid w:val="00901DBF"/>
    <w:rsid w:val="00901EE7"/>
    <w:rsid w:val="0090219C"/>
    <w:rsid w:val="00902808"/>
    <w:rsid w:val="00902FA2"/>
    <w:rsid w:val="00903640"/>
    <w:rsid w:val="009038AB"/>
    <w:rsid w:val="00903931"/>
    <w:rsid w:val="0090458F"/>
    <w:rsid w:val="0090467E"/>
    <w:rsid w:val="0090481F"/>
    <w:rsid w:val="00904A8F"/>
    <w:rsid w:val="009054AE"/>
    <w:rsid w:val="00906480"/>
    <w:rsid w:val="009065AB"/>
    <w:rsid w:val="00907B94"/>
    <w:rsid w:val="0091088D"/>
    <w:rsid w:val="009108ED"/>
    <w:rsid w:val="00911C9F"/>
    <w:rsid w:val="00911E06"/>
    <w:rsid w:val="009120B9"/>
    <w:rsid w:val="0091275E"/>
    <w:rsid w:val="00912BE1"/>
    <w:rsid w:val="00912C6E"/>
    <w:rsid w:val="00912DCA"/>
    <w:rsid w:val="00912E48"/>
    <w:rsid w:val="00912F49"/>
    <w:rsid w:val="00912F75"/>
    <w:rsid w:val="009131D4"/>
    <w:rsid w:val="009135E0"/>
    <w:rsid w:val="00913FB5"/>
    <w:rsid w:val="0091443A"/>
    <w:rsid w:val="00914494"/>
    <w:rsid w:val="009145A2"/>
    <w:rsid w:val="00914A3A"/>
    <w:rsid w:val="009153F8"/>
    <w:rsid w:val="00916730"/>
    <w:rsid w:val="00916E02"/>
    <w:rsid w:val="009170F0"/>
    <w:rsid w:val="0091729D"/>
    <w:rsid w:val="00917481"/>
    <w:rsid w:val="00917A88"/>
    <w:rsid w:val="00920F4A"/>
    <w:rsid w:val="009214BF"/>
    <w:rsid w:val="00921D71"/>
    <w:rsid w:val="009225A8"/>
    <w:rsid w:val="009230E4"/>
    <w:rsid w:val="009231BD"/>
    <w:rsid w:val="00924635"/>
    <w:rsid w:val="0092463A"/>
    <w:rsid w:val="00924CBC"/>
    <w:rsid w:val="0092508B"/>
    <w:rsid w:val="00925219"/>
    <w:rsid w:val="0092569A"/>
    <w:rsid w:val="00925807"/>
    <w:rsid w:val="00925852"/>
    <w:rsid w:val="00925884"/>
    <w:rsid w:val="009258B1"/>
    <w:rsid w:val="00925CBB"/>
    <w:rsid w:val="00925D78"/>
    <w:rsid w:val="00925E94"/>
    <w:rsid w:val="009265E6"/>
    <w:rsid w:val="0092722D"/>
    <w:rsid w:val="009272AC"/>
    <w:rsid w:val="009276AC"/>
    <w:rsid w:val="009276B0"/>
    <w:rsid w:val="009279C2"/>
    <w:rsid w:val="00930299"/>
    <w:rsid w:val="00930427"/>
    <w:rsid w:val="00931438"/>
    <w:rsid w:val="00931A50"/>
    <w:rsid w:val="0093235C"/>
    <w:rsid w:val="0093361B"/>
    <w:rsid w:val="00934862"/>
    <w:rsid w:val="00934CC2"/>
    <w:rsid w:val="00935415"/>
    <w:rsid w:val="009355AB"/>
    <w:rsid w:val="009358DC"/>
    <w:rsid w:val="00935EDE"/>
    <w:rsid w:val="0093662C"/>
    <w:rsid w:val="00936768"/>
    <w:rsid w:val="009368E0"/>
    <w:rsid w:val="009379A4"/>
    <w:rsid w:val="009405CF"/>
    <w:rsid w:val="00940F81"/>
    <w:rsid w:val="009413B3"/>
    <w:rsid w:val="00941434"/>
    <w:rsid w:val="009427C5"/>
    <w:rsid w:val="009428A2"/>
    <w:rsid w:val="00942C47"/>
    <w:rsid w:val="00943149"/>
    <w:rsid w:val="00943540"/>
    <w:rsid w:val="0094360E"/>
    <w:rsid w:val="00944BD1"/>
    <w:rsid w:val="00944C7F"/>
    <w:rsid w:val="00944F00"/>
    <w:rsid w:val="00944F99"/>
    <w:rsid w:val="0094542B"/>
    <w:rsid w:val="009457EE"/>
    <w:rsid w:val="0094583B"/>
    <w:rsid w:val="00946336"/>
    <w:rsid w:val="009466D9"/>
    <w:rsid w:val="00946E72"/>
    <w:rsid w:val="00947272"/>
    <w:rsid w:val="009475CD"/>
    <w:rsid w:val="00947D55"/>
    <w:rsid w:val="009501EF"/>
    <w:rsid w:val="009502ED"/>
    <w:rsid w:val="009506E5"/>
    <w:rsid w:val="00950A96"/>
    <w:rsid w:val="009510C2"/>
    <w:rsid w:val="0095153A"/>
    <w:rsid w:val="009515DC"/>
    <w:rsid w:val="0095164B"/>
    <w:rsid w:val="009517FE"/>
    <w:rsid w:val="0095280D"/>
    <w:rsid w:val="00952C7A"/>
    <w:rsid w:val="00952DB5"/>
    <w:rsid w:val="00952E3E"/>
    <w:rsid w:val="009532D9"/>
    <w:rsid w:val="00953D32"/>
    <w:rsid w:val="009555D4"/>
    <w:rsid w:val="009566F5"/>
    <w:rsid w:val="00956942"/>
    <w:rsid w:val="00956BE4"/>
    <w:rsid w:val="00956F26"/>
    <w:rsid w:val="009619F4"/>
    <w:rsid w:val="00961B47"/>
    <w:rsid w:val="00961B83"/>
    <w:rsid w:val="00961D77"/>
    <w:rsid w:val="00962D0A"/>
    <w:rsid w:val="00962DA3"/>
    <w:rsid w:val="009631F0"/>
    <w:rsid w:val="00963588"/>
    <w:rsid w:val="00963A2C"/>
    <w:rsid w:val="00963D05"/>
    <w:rsid w:val="009649D2"/>
    <w:rsid w:val="00964E9A"/>
    <w:rsid w:val="009658A8"/>
    <w:rsid w:val="00965D43"/>
    <w:rsid w:val="00965D4A"/>
    <w:rsid w:val="00965D5A"/>
    <w:rsid w:val="0096621A"/>
    <w:rsid w:val="009662AF"/>
    <w:rsid w:val="00966397"/>
    <w:rsid w:val="00966617"/>
    <w:rsid w:val="00967341"/>
    <w:rsid w:val="00967F36"/>
    <w:rsid w:val="0097008E"/>
    <w:rsid w:val="009704C8"/>
    <w:rsid w:val="00970F53"/>
    <w:rsid w:val="00970F69"/>
    <w:rsid w:val="009715A5"/>
    <w:rsid w:val="00971634"/>
    <w:rsid w:val="0097163F"/>
    <w:rsid w:val="00971653"/>
    <w:rsid w:val="00971771"/>
    <w:rsid w:val="009718EB"/>
    <w:rsid w:val="00971A22"/>
    <w:rsid w:val="0097222A"/>
    <w:rsid w:val="00972611"/>
    <w:rsid w:val="00972B25"/>
    <w:rsid w:val="00972B3D"/>
    <w:rsid w:val="009736F1"/>
    <w:rsid w:val="00973FDF"/>
    <w:rsid w:val="00974239"/>
    <w:rsid w:val="00974290"/>
    <w:rsid w:val="009745F3"/>
    <w:rsid w:val="00974EB6"/>
    <w:rsid w:val="009750C7"/>
    <w:rsid w:val="0097570D"/>
    <w:rsid w:val="00975A56"/>
    <w:rsid w:val="00976178"/>
    <w:rsid w:val="00976290"/>
    <w:rsid w:val="00977659"/>
    <w:rsid w:val="0098024A"/>
    <w:rsid w:val="009805C2"/>
    <w:rsid w:val="00980743"/>
    <w:rsid w:val="00980A07"/>
    <w:rsid w:val="00980BBE"/>
    <w:rsid w:val="00980C91"/>
    <w:rsid w:val="0098117D"/>
    <w:rsid w:val="009826C6"/>
    <w:rsid w:val="009830C4"/>
    <w:rsid w:val="009839D1"/>
    <w:rsid w:val="009842C2"/>
    <w:rsid w:val="009846F3"/>
    <w:rsid w:val="00984BBF"/>
    <w:rsid w:val="00984ED5"/>
    <w:rsid w:val="009855F8"/>
    <w:rsid w:val="00985631"/>
    <w:rsid w:val="00985BA6"/>
    <w:rsid w:val="00985D3D"/>
    <w:rsid w:val="0098636D"/>
    <w:rsid w:val="00986519"/>
    <w:rsid w:val="0098748D"/>
    <w:rsid w:val="0098761A"/>
    <w:rsid w:val="00987CBD"/>
    <w:rsid w:val="00987F97"/>
    <w:rsid w:val="009906A7"/>
    <w:rsid w:val="00991120"/>
    <w:rsid w:val="009911DE"/>
    <w:rsid w:val="0099170A"/>
    <w:rsid w:val="009925BA"/>
    <w:rsid w:val="0099264B"/>
    <w:rsid w:val="009926EB"/>
    <w:rsid w:val="00992CFC"/>
    <w:rsid w:val="0099403A"/>
    <w:rsid w:val="00994099"/>
    <w:rsid w:val="0099433A"/>
    <w:rsid w:val="009947DE"/>
    <w:rsid w:val="00994F53"/>
    <w:rsid w:val="0099592A"/>
    <w:rsid w:val="00995CB3"/>
    <w:rsid w:val="00995D93"/>
    <w:rsid w:val="00996CCD"/>
    <w:rsid w:val="00997102"/>
    <w:rsid w:val="00997271"/>
    <w:rsid w:val="00997ECA"/>
    <w:rsid w:val="009A0631"/>
    <w:rsid w:val="009A06D8"/>
    <w:rsid w:val="009A0A7A"/>
    <w:rsid w:val="009A0EF6"/>
    <w:rsid w:val="009A1CF9"/>
    <w:rsid w:val="009A25B9"/>
    <w:rsid w:val="009A2AA9"/>
    <w:rsid w:val="009A2D84"/>
    <w:rsid w:val="009A2F75"/>
    <w:rsid w:val="009A351B"/>
    <w:rsid w:val="009A3B4E"/>
    <w:rsid w:val="009A5792"/>
    <w:rsid w:val="009A582A"/>
    <w:rsid w:val="009A6679"/>
    <w:rsid w:val="009A7368"/>
    <w:rsid w:val="009A7636"/>
    <w:rsid w:val="009A7B8A"/>
    <w:rsid w:val="009B0206"/>
    <w:rsid w:val="009B090E"/>
    <w:rsid w:val="009B0A96"/>
    <w:rsid w:val="009B0E52"/>
    <w:rsid w:val="009B113B"/>
    <w:rsid w:val="009B127E"/>
    <w:rsid w:val="009B1B5E"/>
    <w:rsid w:val="009B1FA6"/>
    <w:rsid w:val="009B27EB"/>
    <w:rsid w:val="009B2E17"/>
    <w:rsid w:val="009B2F2F"/>
    <w:rsid w:val="009B3222"/>
    <w:rsid w:val="009B401C"/>
    <w:rsid w:val="009B4801"/>
    <w:rsid w:val="009B4F57"/>
    <w:rsid w:val="009B54C5"/>
    <w:rsid w:val="009B61CF"/>
    <w:rsid w:val="009B61FF"/>
    <w:rsid w:val="009B69E9"/>
    <w:rsid w:val="009B6C0C"/>
    <w:rsid w:val="009B7448"/>
    <w:rsid w:val="009B7839"/>
    <w:rsid w:val="009B7C99"/>
    <w:rsid w:val="009B7E1A"/>
    <w:rsid w:val="009C0162"/>
    <w:rsid w:val="009C05EE"/>
    <w:rsid w:val="009C05FF"/>
    <w:rsid w:val="009C08EC"/>
    <w:rsid w:val="009C0D95"/>
    <w:rsid w:val="009C0F3C"/>
    <w:rsid w:val="009C14D7"/>
    <w:rsid w:val="009C1C59"/>
    <w:rsid w:val="009C1D0A"/>
    <w:rsid w:val="009C2CAF"/>
    <w:rsid w:val="009C2F43"/>
    <w:rsid w:val="009C3306"/>
    <w:rsid w:val="009C345F"/>
    <w:rsid w:val="009C35BF"/>
    <w:rsid w:val="009C3972"/>
    <w:rsid w:val="009C3A27"/>
    <w:rsid w:val="009C3AE8"/>
    <w:rsid w:val="009C3D97"/>
    <w:rsid w:val="009C3E4B"/>
    <w:rsid w:val="009C3ECD"/>
    <w:rsid w:val="009C40EF"/>
    <w:rsid w:val="009C4133"/>
    <w:rsid w:val="009C48A5"/>
    <w:rsid w:val="009C4A1E"/>
    <w:rsid w:val="009C5342"/>
    <w:rsid w:val="009C58AD"/>
    <w:rsid w:val="009C630D"/>
    <w:rsid w:val="009C68C3"/>
    <w:rsid w:val="009C6C6A"/>
    <w:rsid w:val="009C773E"/>
    <w:rsid w:val="009C77C7"/>
    <w:rsid w:val="009D053A"/>
    <w:rsid w:val="009D0CF4"/>
    <w:rsid w:val="009D1680"/>
    <w:rsid w:val="009D27CD"/>
    <w:rsid w:val="009D2A46"/>
    <w:rsid w:val="009D4114"/>
    <w:rsid w:val="009D4493"/>
    <w:rsid w:val="009D47B3"/>
    <w:rsid w:val="009D48C2"/>
    <w:rsid w:val="009D4939"/>
    <w:rsid w:val="009D5702"/>
    <w:rsid w:val="009D5B5D"/>
    <w:rsid w:val="009D634F"/>
    <w:rsid w:val="009D66FC"/>
    <w:rsid w:val="009D6811"/>
    <w:rsid w:val="009D6939"/>
    <w:rsid w:val="009D702D"/>
    <w:rsid w:val="009D7188"/>
    <w:rsid w:val="009D74C3"/>
    <w:rsid w:val="009D7F87"/>
    <w:rsid w:val="009E0536"/>
    <w:rsid w:val="009E0FEE"/>
    <w:rsid w:val="009E1D74"/>
    <w:rsid w:val="009E2AA6"/>
    <w:rsid w:val="009E2E5F"/>
    <w:rsid w:val="009E3509"/>
    <w:rsid w:val="009E3667"/>
    <w:rsid w:val="009E3737"/>
    <w:rsid w:val="009E3BCC"/>
    <w:rsid w:val="009E3E6C"/>
    <w:rsid w:val="009E40B8"/>
    <w:rsid w:val="009E4395"/>
    <w:rsid w:val="009E4677"/>
    <w:rsid w:val="009E4BB4"/>
    <w:rsid w:val="009E4CC2"/>
    <w:rsid w:val="009E4F6B"/>
    <w:rsid w:val="009E53C7"/>
    <w:rsid w:val="009E5769"/>
    <w:rsid w:val="009E5912"/>
    <w:rsid w:val="009E5A07"/>
    <w:rsid w:val="009E5D14"/>
    <w:rsid w:val="009E5DAD"/>
    <w:rsid w:val="009E5E10"/>
    <w:rsid w:val="009E5E40"/>
    <w:rsid w:val="009E6BCF"/>
    <w:rsid w:val="009E6D71"/>
    <w:rsid w:val="009E70E9"/>
    <w:rsid w:val="009E715A"/>
    <w:rsid w:val="009E7558"/>
    <w:rsid w:val="009F0176"/>
    <w:rsid w:val="009F1227"/>
    <w:rsid w:val="009F1482"/>
    <w:rsid w:val="009F1573"/>
    <w:rsid w:val="009F1BEE"/>
    <w:rsid w:val="009F22EF"/>
    <w:rsid w:val="009F27FD"/>
    <w:rsid w:val="009F2E38"/>
    <w:rsid w:val="009F2F35"/>
    <w:rsid w:val="009F3A41"/>
    <w:rsid w:val="009F3D90"/>
    <w:rsid w:val="009F3DBE"/>
    <w:rsid w:val="009F48F4"/>
    <w:rsid w:val="009F4DB1"/>
    <w:rsid w:val="009F50D0"/>
    <w:rsid w:val="009F54DC"/>
    <w:rsid w:val="009F5558"/>
    <w:rsid w:val="009F5D43"/>
    <w:rsid w:val="009F5E45"/>
    <w:rsid w:val="009F5F70"/>
    <w:rsid w:val="009F5FA7"/>
    <w:rsid w:val="009F62E3"/>
    <w:rsid w:val="009F65FA"/>
    <w:rsid w:val="009F7079"/>
    <w:rsid w:val="009F7391"/>
    <w:rsid w:val="009F744E"/>
    <w:rsid w:val="009F7547"/>
    <w:rsid w:val="009F757C"/>
    <w:rsid w:val="00A002F2"/>
    <w:rsid w:val="00A00330"/>
    <w:rsid w:val="00A007EF"/>
    <w:rsid w:val="00A01524"/>
    <w:rsid w:val="00A0269C"/>
    <w:rsid w:val="00A02A86"/>
    <w:rsid w:val="00A02CBE"/>
    <w:rsid w:val="00A030A4"/>
    <w:rsid w:val="00A03529"/>
    <w:rsid w:val="00A0377A"/>
    <w:rsid w:val="00A039B2"/>
    <w:rsid w:val="00A03CB0"/>
    <w:rsid w:val="00A03D8A"/>
    <w:rsid w:val="00A04403"/>
    <w:rsid w:val="00A04A3C"/>
    <w:rsid w:val="00A04AD1"/>
    <w:rsid w:val="00A04EF6"/>
    <w:rsid w:val="00A05D10"/>
    <w:rsid w:val="00A05EE9"/>
    <w:rsid w:val="00A05F4D"/>
    <w:rsid w:val="00A063AB"/>
    <w:rsid w:val="00A06445"/>
    <w:rsid w:val="00A06510"/>
    <w:rsid w:val="00A06521"/>
    <w:rsid w:val="00A06551"/>
    <w:rsid w:val="00A06784"/>
    <w:rsid w:val="00A06D53"/>
    <w:rsid w:val="00A06DCA"/>
    <w:rsid w:val="00A06F48"/>
    <w:rsid w:val="00A07567"/>
    <w:rsid w:val="00A104EF"/>
    <w:rsid w:val="00A10B5B"/>
    <w:rsid w:val="00A1106B"/>
    <w:rsid w:val="00A115CD"/>
    <w:rsid w:val="00A11730"/>
    <w:rsid w:val="00A11A41"/>
    <w:rsid w:val="00A11E0D"/>
    <w:rsid w:val="00A12280"/>
    <w:rsid w:val="00A12552"/>
    <w:rsid w:val="00A127CE"/>
    <w:rsid w:val="00A1284E"/>
    <w:rsid w:val="00A12FCE"/>
    <w:rsid w:val="00A1445B"/>
    <w:rsid w:val="00A14763"/>
    <w:rsid w:val="00A14781"/>
    <w:rsid w:val="00A14E35"/>
    <w:rsid w:val="00A15212"/>
    <w:rsid w:val="00A15471"/>
    <w:rsid w:val="00A155FB"/>
    <w:rsid w:val="00A16335"/>
    <w:rsid w:val="00A163F8"/>
    <w:rsid w:val="00A17203"/>
    <w:rsid w:val="00A174ED"/>
    <w:rsid w:val="00A20317"/>
    <w:rsid w:val="00A205DC"/>
    <w:rsid w:val="00A2128A"/>
    <w:rsid w:val="00A215A3"/>
    <w:rsid w:val="00A2195D"/>
    <w:rsid w:val="00A21BC5"/>
    <w:rsid w:val="00A222B5"/>
    <w:rsid w:val="00A22950"/>
    <w:rsid w:val="00A23669"/>
    <w:rsid w:val="00A23EDE"/>
    <w:rsid w:val="00A23FAE"/>
    <w:rsid w:val="00A24894"/>
    <w:rsid w:val="00A24CE1"/>
    <w:rsid w:val="00A24DFB"/>
    <w:rsid w:val="00A24F08"/>
    <w:rsid w:val="00A25755"/>
    <w:rsid w:val="00A25CDA"/>
    <w:rsid w:val="00A25EB5"/>
    <w:rsid w:val="00A26ABF"/>
    <w:rsid w:val="00A273DB"/>
    <w:rsid w:val="00A278ED"/>
    <w:rsid w:val="00A3035A"/>
    <w:rsid w:val="00A30926"/>
    <w:rsid w:val="00A30FA6"/>
    <w:rsid w:val="00A31157"/>
    <w:rsid w:val="00A3129F"/>
    <w:rsid w:val="00A32863"/>
    <w:rsid w:val="00A32C87"/>
    <w:rsid w:val="00A332B8"/>
    <w:rsid w:val="00A3365F"/>
    <w:rsid w:val="00A33EEE"/>
    <w:rsid w:val="00A33F7E"/>
    <w:rsid w:val="00A3494E"/>
    <w:rsid w:val="00A34BC3"/>
    <w:rsid w:val="00A357D6"/>
    <w:rsid w:val="00A35CC6"/>
    <w:rsid w:val="00A35E01"/>
    <w:rsid w:val="00A361FD"/>
    <w:rsid w:val="00A363F5"/>
    <w:rsid w:val="00A3641F"/>
    <w:rsid w:val="00A3695A"/>
    <w:rsid w:val="00A36A62"/>
    <w:rsid w:val="00A371DD"/>
    <w:rsid w:val="00A372E4"/>
    <w:rsid w:val="00A37526"/>
    <w:rsid w:val="00A4040A"/>
    <w:rsid w:val="00A40D1F"/>
    <w:rsid w:val="00A42358"/>
    <w:rsid w:val="00A43312"/>
    <w:rsid w:val="00A436C3"/>
    <w:rsid w:val="00A44199"/>
    <w:rsid w:val="00A4472D"/>
    <w:rsid w:val="00A44C36"/>
    <w:rsid w:val="00A44DC4"/>
    <w:rsid w:val="00A44F13"/>
    <w:rsid w:val="00A45205"/>
    <w:rsid w:val="00A4525C"/>
    <w:rsid w:val="00A452C6"/>
    <w:rsid w:val="00A45390"/>
    <w:rsid w:val="00A4581D"/>
    <w:rsid w:val="00A45E9F"/>
    <w:rsid w:val="00A47909"/>
    <w:rsid w:val="00A47E71"/>
    <w:rsid w:val="00A47E9A"/>
    <w:rsid w:val="00A47ECF"/>
    <w:rsid w:val="00A50161"/>
    <w:rsid w:val="00A50490"/>
    <w:rsid w:val="00A50EEC"/>
    <w:rsid w:val="00A50F17"/>
    <w:rsid w:val="00A51534"/>
    <w:rsid w:val="00A516E3"/>
    <w:rsid w:val="00A51C11"/>
    <w:rsid w:val="00A51CD9"/>
    <w:rsid w:val="00A51E45"/>
    <w:rsid w:val="00A52C5F"/>
    <w:rsid w:val="00A52E0A"/>
    <w:rsid w:val="00A535C6"/>
    <w:rsid w:val="00A53742"/>
    <w:rsid w:val="00A53A8A"/>
    <w:rsid w:val="00A53BC6"/>
    <w:rsid w:val="00A5402E"/>
    <w:rsid w:val="00A5477C"/>
    <w:rsid w:val="00A548D8"/>
    <w:rsid w:val="00A54D3D"/>
    <w:rsid w:val="00A54FAE"/>
    <w:rsid w:val="00A551D6"/>
    <w:rsid w:val="00A55BD9"/>
    <w:rsid w:val="00A55E63"/>
    <w:rsid w:val="00A56571"/>
    <w:rsid w:val="00A56643"/>
    <w:rsid w:val="00A56E7D"/>
    <w:rsid w:val="00A57546"/>
    <w:rsid w:val="00A57A42"/>
    <w:rsid w:val="00A60263"/>
    <w:rsid w:val="00A60680"/>
    <w:rsid w:val="00A60807"/>
    <w:rsid w:val="00A608DD"/>
    <w:rsid w:val="00A60C1C"/>
    <w:rsid w:val="00A60C52"/>
    <w:rsid w:val="00A60C6B"/>
    <w:rsid w:val="00A61A85"/>
    <w:rsid w:val="00A62381"/>
    <w:rsid w:val="00A625B6"/>
    <w:rsid w:val="00A62818"/>
    <w:rsid w:val="00A62E98"/>
    <w:rsid w:val="00A63A37"/>
    <w:rsid w:val="00A63FBB"/>
    <w:rsid w:val="00A64286"/>
    <w:rsid w:val="00A6502F"/>
    <w:rsid w:val="00A65386"/>
    <w:rsid w:val="00A653E1"/>
    <w:rsid w:val="00A65533"/>
    <w:rsid w:val="00A65603"/>
    <w:rsid w:val="00A658A2"/>
    <w:rsid w:val="00A6647B"/>
    <w:rsid w:val="00A671B4"/>
    <w:rsid w:val="00A67C3E"/>
    <w:rsid w:val="00A7050F"/>
    <w:rsid w:val="00A70860"/>
    <w:rsid w:val="00A70956"/>
    <w:rsid w:val="00A70DAC"/>
    <w:rsid w:val="00A7126F"/>
    <w:rsid w:val="00A71736"/>
    <w:rsid w:val="00A71C5B"/>
    <w:rsid w:val="00A71DCE"/>
    <w:rsid w:val="00A71F2F"/>
    <w:rsid w:val="00A72772"/>
    <w:rsid w:val="00A73891"/>
    <w:rsid w:val="00A73969"/>
    <w:rsid w:val="00A73B23"/>
    <w:rsid w:val="00A74A31"/>
    <w:rsid w:val="00A752DC"/>
    <w:rsid w:val="00A7551D"/>
    <w:rsid w:val="00A759B5"/>
    <w:rsid w:val="00A7713E"/>
    <w:rsid w:val="00A77456"/>
    <w:rsid w:val="00A775D3"/>
    <w:rsid w:val="00A779DF"/>
    <w:rsid w:val="00A811BD"/>
    <w:rsid w:val="00A814E2"/>
    <w:rsid w:val="00A818ED"/>
    <w:rsid w:val="00A81923"/>
    <w:rsid w:val="00A81EA0"/>
    <w:rsid w:val="00A8218C"/>
    <w:rsid w:val="00A82398"/>
    <w:rsid w:val="00A82927"/>
    <w:rsid w:val="00A8337A"/>
    <w:rsid w:val="00A8380D"/>
    <w:rsid w:val="00A84578"/>
    <w:rsid w:val="00A84611"/>
    <w:rsid w:val="00A84984"/>
    <w:rsid w:val="00A860E3"/>
    <w:rsid w:val="00A86573"/>
    <w:rsid w:val="00A86849"/>
    <w:rsid w:val="00A869C9"/>
    <w:rsid w:val="00A87454"/>
    <w:rsid w:val="00A87F62"/>
    <w:rsid w:val="00A90E9D"/>
    <w:rsid w:val="00A91142"/>
    <w:rsid w:val="00A9150E"/>
    <w:rsid w:val="00A91A51"/>
    <w:rsid w:val="00A91DF2"/>
    <w:rsid w:val="00A92EA8"/>
    <w:rsid w:val="00A932EE"/>
    <w:rsid w:val="00A93454"/>
    <w:rsid w:val="00A9389F"/>
    <w:rsid w:val="00A938DC"/>
    <w:rsid w:val="00A93AA7"/>
    <w:rsid w:val="00A93B8B"/>
    <w:rsid w:val="00A93DC1"/>
    <w:rsid w:val="00A93E3D"/>
    <w:rsid w:val="00A9436A"/>
    <w:rsid w:val="00A94A3B"/>
    <w:rsid w:val="00A957D3"/>
    <w:rsid w:val="00A96273"/>
    <w:rsid w:val="00A96320"/>
    <w:rsid w:val="00A96583"/>
    <w:rsid w:val="00A96854"/>
    <w:rsid w:val="00A96945"/>
    <w:rsid w:val="00A96D1A"/>
    <w:rsid w:val="00A97456"/>
    <w:rsid w:val="00A97BF9"/>
    <w:rsid w:val="00A97D6D"/>
    <w:rsid w:val="00AA0501"/>
    <w:rsid w:val="00AA0689"/>
    <w:rsid w:val="00AA0895"/>
    <w:rsid w:val="00AA0A77"/>
    <w:rsid w:val="00AA1414"/>
    <w:rsid w:val="00AA17AE"/>
    <w:rsid w:val="00AA1A2C"/>
    <w:rsid w:val="00AA2B18"/>
    <w:rsid w:val="00AA2CCC"/>
    <w:rsid w:val="00AA34E0"/>
    <w:rsid w:val="00AA3958"/>
    <w:rsid w:val="00AA3BA1"/>
    <w:rsid w:val="00AA40A2"/>
    <w:rsid w:val="00AA4194"/>
    <w:rsid w:val="00AA4470"/>
    <w:rsid w:val="00AA5BCF"/>
    <w:rsid w:val="00AA66EC"/>
    <w:rsid w:val="00AA699F"/>
    <w:rsid w:val="00AA7253"/>
    <w:rsid w:val="00AA76B6"/>
    <w:rsid w:val="00AA7D3D"/>
    <w:rsid w:val="00AB00E2"/>
    <w:rsid w:val="00AB0406"/>
    <w:rsid w:val="00AB1A1D"/>
    <w:rsid w:val="00AB1D27"/>
    <w:rsid w:val="00AB21B9"/>
    <w:rsid w:val="00AB280A"/>
    <w:rsid w:val="00AB28E1"/>
    <w:rsid w:val="00AB3E1D"/>
    <w:rsid w:val="00AB4226"/>
    <w:rsid w:val="00AB47CD"/>
    <w:rsid w:val="00AB5EFC"/>
    <w:rsid w:val="00AB62A3"/>
    <w:rsid w:val="00AB6D00"/>
    <w:rsid w:val="00AB7B20"/>
    <w:rsid w:val="00AB7C1C"/>
    <w:rsid w:val="00AC03CB"/>
    <w:rsid w:val="00AC055F"/>
    <w:rsid w:val="00AC06F3"/>
    <w:rsid w:val="00AC0B22"/>
    <w:rsid w:val="00AC0D58"/>
    <w:rsid w:val="00AC10CE"/>
    <w:rsid w:val="00AC126C"/>
    <w:rsid w:val="00AC13DC"/>
    <w:rsid w:val="00AC1A38"/>
    <w:rsid w:val="00AC2211"/>
    <w:rsid w:val="00AC2329"/>
    <w:rsid w:val="00AC232A"/>
    <w:rsid w:val="00AC2381"/>
    <w:rsid w:val="00AC27FF"/>
    <w:rsid w:val="00AC3185"/>
    <w:rsid w:val="00AC3969"/>
    <w:rsid w:val="00AC3F06"/>
    <w:rsid w:val="00AC3FE7"/>
    <w:rsid w:val="00AC42F8"/>
    <w:rsid w:val="00AC46BF"/>
    <w:rsid w:val="00AC4CDA"/>
    <w:rsid w:val="00AC540D"/>
    <w:rsid w:val="00AC56DC"/>
    <w:rsid w:val="00AC5869"/>
    <w:rsid w:val="00AC5BB8"/>
    <w:rsid w:val="00AC5D25"/>
    <w:rsid w:val="00AC619A"/>
    <w:rsid w:val="00AC648C"/>
    <w:rsid w:val="00AC6632"/>
    <w:rsid w:val="00AC66A2"/>
    <w:rsid w:val="00AC7060"/>
    <w:rsid w:val="00AC7334"/>
    <w:rsid w:val="00AC7529"/>
    <w:rsid w:val="00AC765E"/>
    <w:rsid w:val="00AC7EA1"/>
    <w:rsid w:val="00AD0595"/>
    <w:rsid w:val="00AD13DF"/>
    <w:rsid w:val="00AD1793"/>
    <w:rsid w:val="00AD1A4F"/>
    <w:rsid w:val="00AD204B"/>
    <w:rsid w:val="00AD24DB"/>
    <w:rsid w:val="00AD253F"/>
    <w:rsid w:val="00AD288B"/>
    <w:rsid w:val="00AD2A25"/>
    <w:rsid w:val="00AD2C37"/>
    <w:rsid w:val="00AD2DFA"/>
    <w:rsid w:val="00AD303D"/>
    <w:rsid w:val="00AD43DC"/>
    <w:rsid w:val="00AD4E00"/>
    <w:rsid w:val="00AD51BA"/>
    <w:rsid w:val="00AD534E"/>
    <w:rsid w:val="00AD579D"/>
    <w:rsid w:val="00AD5CA9"/>
    <w:rsid w:val="00AD6677"/>
    <w:rsid w:val="00AD674A"/>
    <w:rsid w:val="00AD71B2"/>
    <w:rsid w:val="00AD7DFF"/>
    <w:rsid w:val="00AE094D"/>
    <w:rsid w:val="00AE11E2"/>
    <w:rsid w:val="00AE11FD"/>
    <w:rsid w:val="00AE1652"/>
    <w:rsid w:val="00AE18CC"/>
    <w:rsid w:val="00AE1A46"/>
    <w:rsid w:val="00AE1AC5"/>
    <w:rsid w:val="00AE232C"/>
    <w:rsid w:val="00AE3115"/>
    <w:rsid w:val="00AE35CF"/>
    <w:rsid w:val="00AE385E"/>
    <w:rsid w:val="00AE3ABA"/>
    <w:rsid w:val="00AE3B65"/>
    <w:rsid w:val="00AE464F"/>
    <w:rsid w:val="00AE4651"/>
    <w:rsid w:val="00AE4E74"/>
    <w:rsid w:val="00AE52BA"/>
    <w:rsid w:val="00AE5938"/>
    <w:rsid w:val="00AE5FB3"/>
    <w:rsid w:val="00AE657E"/>
    <w:rsid w:val="00AE7AA8"/>
    <w:rsid w:val="00AF0031"/>
    <w:rsid w:val="00AF0727"/>
    <w:rsid w:val="00AF0A72"/>
    <w:rsid w:val="00AF1192"/>
    <w:rsid w:val="00AF16CA"/>
    <w:rsid w:val="00AF1907"/>
    <w:rsid w:val="00AF1E10"/>
    <w:rsid w:val="00AF205F"/>
    <w:rsid w:val="00AF2186"/>
    <w:rsid w:val="00AF2D92"/>
    <w:rsid w:val="00AF307E"/>
    <w:rsid w:val="00AF3BF5"/>
    <w:rsid w:val="00AF4297"/>
    <w:rsid w:val="00AF4570"/>
    <w:rsid w:val="00AF475B"/>
    <w:rsid w:val="00AF48D0"/>
    <w:rsid w:val="00AF56A7"/>
    <w:rsid w:val="00AF578D"/>
    <w:rsid w:val="00AF61FA"/>
    <w:rsid w:val="00AF66C5"/>
    <w:rsid w:val="00AF6785"/>
    <w:rsid w:val="00AF6FB8"/>
    <w:rsid w:val="00AF7536"/>
    <w:rsid w:val="00AF7773"/>
    <w:rsid w:val="00AF785C"/>
    <w:rsid w:val="00B00260"/>
    <w:rsid w:val="00B0060B"/>
    <w:rsid w:val="00B00614"/>
    <w:rsid w:val="00B007A6"/>
    <w:rsid w:val="00B0084C"/>
    <w:rsid w:val="00B00EF4"/>
    <w:rsid w:val="00B01604"/>
    <w:rsid w:val="00B02342"/>
    <w:rsid w:val="00B029B6"/>
    <w:rsid w:val="00B02F5D"/>
    <w:rsid w:val="00B030CA"/>
    <w:rsid w:val="00B03A28"/>
    <w:rsid w:val="00B03B3F"/>
    <w:rsid w:val="00B03E07"/>
    <w:rsid w:val="00B04170"/>
    <w:rsid w:val="00B04499"/>
    <w:rsid w:val="00B04613"/>
    <w:rsid w:val="00B046B2"/>
    <w:rsid w:val="00B04B64"/>
    <w:rsid w:val="00B0510F"/>
    <w:rsid w:val="00B056A8"/>
    <w:rsid w:val="00B05764"/>
    <w:rsid w:val="00B05CD3"/>
    <w:rsid w:val="00B05D5F"/>
    <w:rsid w:val="00B06120"/>
    <w:rsid w:val="00B0626A"/>
    <w:rsid w:val="00B067C6"/>
    <w:rsid w:val="00B06DE1"/>
    <w:rsid w:val="00B072DF"/>
    <w:rsid w:val="00B07742"/>
    <w:rsid w:val="00B07D1C"/>
    <w:rsid w:val="00B10D8D"/>
    <w:rsid w:val="00B10F5B"/>
    <w:rsid w:val="00B114CD"/>
    <w:rsid w:val="00B115B5"/>
    <w:rsid w:val="00B116A4"/>
    <w:rsid w:val="00B11802"/>
    <w:rsid w:val="00B11B03"/>
    <w:rsid w:val="00B11D89"/>
    <w:rsid w:val="00B1220B"/>
    <w:rsid w:val="00B1235E"/>
    <w:rsid w:val="00B12B5B"/>
    <w:rsid w:val="00B132AF"/>
    <w:rsid w:val="00B1346D"/>
    <w:rsid w:val="00B13866"/>
    <w:rsid w:val="00B13F2D"/>
    <w:rsid w:val="00B14709"/>
    <w:rsid w:val="00B14DD4"/>
    <w:rsid w:val="00B14F72"/>
    <w:rsid w:val="00B15032"/>
    <w:rsid w:val="00B156C6"/>
    <w:rsid w:val="00B15B03"/>
    <w:rsid w:val="00B15E01"/>
    <w:rsid w:val="00B15F79"/>
    <w:rsid w:val="00B16245"/>
    <w:rsid w:val="00B165DB"/>
    <w:rsid w:val="00B167BC"/>
    <w:rsid w:val="00B16B75"/>
    <w:rsid w:val="00B16CE7"/>
    <w:rsid w:val="00B16D0F"/>
    <w:rsid w:val="00B176DB"/>
    <w:rsid w:val="00B178C8"/>
    <w:rsid w:val="00B17F73"/>
    <w:rsid w:val="00B20B7E"/>
    <w:rsid w:val="00B217B2"/>
    <w:rsid w:val="00B21C03"/>
    <w:rsid w:val="00B21D6F"/>
    <w:rsid w:val="00B221E6"/>
    <w:rsid w:val="00B22489"/>
    <w:rsid w:val="00B22A36"/>
    <w:rsid w:val="00B22B59"/>
    <w:rsid w:val="00B22DD7"/>
    <w:rsid w:val="00B2307E"/>
    <w:rsid w:val="00B24075"/>
    <w:rsid w:val="00B24300"/>
    <w:rsid w:val="00B24586"/>
    <w:rsid w:val="00B24614"/>
    <w:rsid w:val="00B24788"/>
    <w:rsid w:val="00B25729"/>
    <w:rsid w:val="00B2578C"/>
    <w:rsid w:val="00B26A4B"/>
    <w:rsid w:val="00B26F80"/>
    <w:rsid w:val="00B27925"/>
    <w:rsid w:val="00B3003A"/>
    <w:rsid w:val="00B30290"/>
    <w:rsid w:val="00B30EB5"/>
    <w:rsid w:val="00B31F45"/>
    <w:rsid w:val="00B329B3"/>
    <w:rsid w:val="00B33513"/>
    <w:rsid w:val="00B3379E"/>
    <w:rsid w:val="00B340E2"/>
    <w:rsid w:val="00B350F8"/>
    <w:rsid w:val="00B353D1"/>
    <w:rsid w:val="00B3628F"/>
    <w:rsid w:val="00B365D3"/>
    <w:rsid w:val="00B37025"/>
    <w:rsid w:val="00B371BE"/>
    <w:rsid w:val="00B3741E"/>
    <w:rsid w:val="00B37871"/>
    <w:rsid w:val="00B37997"/>
    <w:rsid w:val="00B37BB8"/>
    <w:rsid w:val="00B40464"/>
    <w:rsid w:val="00B40475"/>
    <w:rsid w:val="00B4055B"/>
    <w:rsid w:val="00B40D39"/>
    <w:rsid w:val="00B4128B"/>
    <w:rsid w:val="00B41929"/>
    <w:rsid w:val="00B41DBB"/>
    <w:rsid w:val="00B425FE"/>
    <w:rsid w:val="00B42A8C"/>
    <w:rsid w:val="00B42C67"/>
    <w:rsid w:val="00B43217"/>
    <w:rsid w:val="00B43598"/>
    <w:rsid w:val="00B438BA"/>
    <w:rsid w:val="00B43F38"/>
    <w:rsid w:val="00B44917"/>
    <w:rsid w:val="00B44966"/>
    <w:rsid w:val="00B449D2"/>
    <w:rsid w:val="00B44E94"/>
    <w:rsid w:val="00B45004"/>
    <w:rsid w:val="00B45C0F"/>
    <w:rsid w:val="00B46C6A"/>
    <w:rsid w:val="00B46CBE"/>
    <w:rsid w:val="00B474A5"/>
    <w:rsid w:val="00B516D4"/>
    <w:rsid w:val="00B51713"/>
    <w:rsid w:val="00B51866"/>
    <w:rsid w:val="00B51932"/>
    <w:rsid w:val="00B519F0"/>
    <w:rsid w:val="00B51C73"/>
    <w:rsid w:val="00B51E06"/>
    <w:rsid w:val="00B5222D"/>
    <w:rsid w:val="00B5282F"/>
    <w:rsid w:val="00B52AA6"/>
    <w:rsid w:val="00B52BF4"/>
    <w:rsid w:val="00B53098"/>
    <w:rsid w:val="00B532BD"/>
    <w:rsid w:val="00B53E95"/>
    <w:rsid w:val="00B5414C"/>
    <w:rsid w:val="00B547D8"/>
    <w:rsid w:val="00B54814"/>
    <w:rsid w:val="00B54B35"/>
    <w:rsid w:val="00B553F3"/>
    <w:rsid w:val="00B55BE4"/>
    <w:rsid w:val="00B55F50"/>
    <w:rsid w:val="00B56339"/>
    <w:rsid w:val="00B563D7"/>
    <w:rsid w:val="00B5648E"/>
    <w:rsid w:val="00B56490"/>
    <w:rsid w:val="00B570C2"/>
    <w:rsid w:val="00B57464"/>
    <w:rsid w:val="00B575B8"/>
    <w:rsid w:val="00B57AE7"/>
    <w:rsid w:val="00B57C2C"/>
    <w:rsid w:val="00B57EDF"/>
    <w:rsid w:val="00B60B8F"/>
    <w:rsid w:val="00B60C70"/>
    <w:rsid w:val="00B60ED1"/>
    <w:rsid w:val="00B61665"/>
    <w:rsid w:val="00B61992"/>
    <w:rsid w:val="00B61C51"/>
    <w:rsid w:val="00B61E02"/>
    <w:rsid w:val="00B6273A"/>
    <w:rsid w:val="00B63060"/>
    <w:rsid w:val="00B6381E"/>
    <w:rsid w:val="00B63954"/>
    <w:rsid w:val="00B639DD"/>
    <w:rsid w:val="00B63B8E"/>
    <w:rsid w:val="00B646C0"/>
    <w:rsid w:val="00B64A80"/>
    <w:rsid w:val="00B64FEA"/>
    <w:rsid w:val="00B65042"/>
    <w:rsid w:val="00B659FD"/>
    <w:rsid w:val="00B66974"/>
    <w:rsid w:val="00B674B6"/>
    <w:rsid w:val="00B6789D"/>
    <w:rsid w:val="00B70662"/>
    <w:rsid w:val="00B70955"/>
    <w:rsid w:val="00B70AA0"/>
    <w:rsid w:val="00B70ADC"/>
    <w:rsid w:val="00B70BFE"/>
    <w:rsid w:val="00B71881"/>
    <w:rsid w:val="00B7221F"/>
    <w:rsid w:val="00B730C5"/>
    <w:rsid w:val="00B73568"/>
    <w:rsid w:val="00B736FA"/>
    <w:rsid w:val="00B73775"/>
    <w:rsid w:val="00B7388A"/>
    <w:rsid w:val="00B7397F"/>
    <w:rsid w:val="00B73CE6"/>
    <w:rsid w:val="00B73DC4"/>
    <w:rsid w:val="00B74105"/>
    <w:rsid w:val="00B74A71"/>
    <w:rsid w:val="00B758EC"/>
    <w:rsid w:val="00B75D1B"/>
    <w:rsid w:val="00B76A6B"/>
    <w:rsid w:val="00B76BCE"/>
    <w:rsid w:val="00B76FE9"/>
    <w:rsid w:val="00B7710C"/>
    <w:rsid w:val="00B77388"/>
    <w:rsid w:val="00B77CE9"/>
    <w:rsid w:val="00B80250"/>
    <w:rsid w:val="00B80747"/>
    <w:rsid w:val="00B808D8"/>
    <w:rsid w:val="00B8092C"/>
    <w:rsid w:val="00B80C2E"/>
    <w:rsid w:val="00B80D16"/>
    <w:rsid w:val="00B80F36"/>
    <w:rsid w:val="00B81132"/>
    <w:rsid w:val="00B811C9"/>
    <w:rsid w:val="00B81294"/>
    <w:rsid w:val="00B8164C"/>
    <w:rsid w:val="00B81C82"/>
    <w:rsid w:val="00B81EAF"/>
    <w:rsid w:val="00B8218C"/>
    <w:rsid w:val="00B82371"/>
    <w:rsid w:val="00B83050"/>
    <w:rsid w:val="00B84795"/>
    <w:rsid w:val="00B84972"/>
    <w:rsid w:val="00B85203"/>
    <w:rsid w:val="00B85739"/>
    <w:rsid w:val="00B86542"/>
    <w:rsid w:val="00B867DC"/>
    <w:rsid w:val="00B86BCF"/>
    <w:rsid w:val="00B86FCC"/>
    <w:rsid w:val="00B871B4"/>
    <w:rsid w:val="00B874EB"/>
    <w:rsid w:val="00B8761B"/>
    <w:rsid w:val="00B879EB"/>
    <w:rsid w:val="00B879FA"/>
    <w:rsid w:val="00B87A7D"/>
    <w:rsid w:val="00B87C85"/>
    <w:rsid w:val="00B87D6C"/>
    <w:rsid w:val="00B903DA"/>
    <w:rsid w:val="00B9096D"/>
    <w:rsid w:val="00B90D1D"/>
    <w:rsid w:val="00B91176"/>
    <w:rsid w:val="00B91409"/>
    <w:rsid w:val="00B9162F"/>
    <w:rsid w:val="00B917C5"/>
    <w:rsid w:val="00B93223"/>
    <w:rsid w:val="00B9349A"/>
    <w:rsid w:val="00B93E68"/>
    <w:rsid w:val="00B940C7"/>
    <w:rsid w:val="00B9446D"/>
    <w:rsid w:val="00B944F0"/>
    <w:rsid w:val="00B94D57"/>
    <w:rsid w:val="00B9536C"/>
    <w:rsid w:val="00B954A7"/>
    <w:rsid w:val="00B958CC"/>
    <w:rsid w:val="00B95B3C"/>
    <w:rsid w:val="00B95F60"/>
    <w:rsid w:val="00B95FB7"/>
    <w:rsid w:val="00B97238"/>
    <w:rsid w:val="00B9762E"/>
    <w:rsid w:val="00B976A7"/>
    <w:rsid w:val="00B97B03"/>
    <w:rsid w:val="00B97B81"/>
    <w:rsid w:val="00BA0FE9"/>
    <w:rsid w:val="00BA10E2"/>
    <w:rsid w:val="00BA1A1C"/>
    <w:rsid w:val="00BA1BF2"/>
    <w:rsid w:val="00BA221B"/>
    <w:rsid w:val="00BA23AB"/>
    <w:rsid w:val="00BA2875"/>
    <w:rsid w:val="00BA28EF"/>
    <w:rsid w:val="00BA3156"/>
    <w:rsid w:val="00BA31CE"/>
    <w:rsid w:val="00BA321D"/>
    <w:rsid w:val="00BA36C4"/>
    <w:rsid w:val="00BA371A"/>
    <w:rsid w:val="00BA3F9E"/>
    <w:rsid w:val="00BA3FB0"/>
    <w:rsid w:val="00BA4A21"/>
    <w:rsid w:val="00BA4DDB"/>
    <w:rsid w:val="00BA502F"/>
    <w:rsid w:val="00BA53B6"/>
    <w:rsid w:val="00BA5764"/>
    <w:rsid w:val="00BA5915"/>
    <w:rsid w:val="00BA5947"/>
    <w:rsid w:val="00BA65E0"/>
    <w:rsid w:val="00BA6F4F"/>
    <w:rsid w:val="00BA7914"/>
    <w:rsid w:val="00BA7FCA"/>
    <w:rsid w:val="00BB0368"/>
    <w:rsid w:val="00BB0918"/>
    <w:rsid w:val="00BB0B7A"/>
    <w:rsid w:val="00BB19AA"/>
    <w:rsid w:val="00BB1A13"/>
    <w:rsid w:val="00BB2084"/>
    <w:rsid w:val="00BB209C"/>
    <w:rsid w:val="00BB26A3"/>
    <w:rsid w:val="00BB29DA"/>
    <w:rsid w:val="00BB2B48"/>
    <w:rsid w:val="00BB3886"/>
    <w:rsid w:val="00BB3C70"/>
    <w:rsid w:val="00BB3CAA"/>
    <w:rsid w:val="00BB3F39"/>
    <w:rsid w:val="00BB421C"/>
    <w:rsid w:val="00BB4764"/>
    <w:rsid w:val="00BB4D58"/>
    <w:rsid w:val="00BB524D"/>
    <w:rsid w:val="00BB6CC6"/>
    <w:rsid w:val="00BB6E46"/>
    <w:rsid w:val="00BB7072"/>
    <w:rsid w:val="00BB7312"/>
    <w:rsid w:val="00BB7419"/>
    <w:rsid w:val="00BB763E"/>
    <w:rsid w:val="00BB7A96"/>
    <w:rsid w:val="00BB7D26"/>
    <w:rsid w:val="00BC0269"/>
    <w:rsid w:val="00BC0283"/>
    <w:rsid w:val="00BC0FD0"/>
    <w:rsid w:val="00BC1195"/>
    <w:rsid w:val="00BC147B"/>
    <w:rsid w:val="00BC162D"/>
    <w:rsid w:val="00BC2017"/>
    <w:rsid w:val="00BC213B"/>
    <w:rsid w:val="00BC279C"/>
    <w:rsid w:val="00BC28A0"/>
    <w:rsid w:val="00BC2C31"/>
    <w:rsid w:val="00BC3610"/>
    <w:rsid w:val="00BC388F"/>
    <w:rsid w:val="00BC43E5"/>
    <w:rsid w:val="00BC4E99"/>
    <w:rsid w:val="00BC4EB1"/>
    <w:rsid w:val="00BC5013"/>
    <w:rsid w:val="00BC5135"/>
    <w:rsid w:val="00BC52CF"/>
    <w:rsid w:val="00BC53BB"/>
    <w:rsid w:val="00BC5A4A"/>
    <w:rsid w:val="00BC666A"/>
    <w:rsid w:val="00BC6AD6"/>
    <w:rsid w:val="00BC7067"/>
    <w:rsid w:val="00BC72F7"/>
    <w:rsid w:val="00BD07A6"/>
    <w:rsid w:val="00BD0BA1"/>
    <w:rsid w:val="00BD1CC1"/>
    <w:rsid w:val="00BD1D72"/>
    <w:rsid w:val="00BD1D77"/>
    <w:rsid w:val="00BD1FA9"/>
    <w:rsid w:val="00BD2A4A"/>
    <w:rsid w:val="00BD35C0"/>
    <w:rsid w:val="00BD3647"/>
    <w:rsid w:val="00BD44C1"/>
    <w:rsid w:val="00BD4993"/>
    <w:rsid w:val="00BD4AF6"/>
    <w:rsid w:val="00BD4E15"/>
    <w:rsid w:val="00BD4F39"/>
    <w:rsid w:val="00BD54FA"/>
    <w:rsid w:val="00BD5658"/>
    <w:rsid w:val="00BD579D"/>
    <w:rsid w:val="00BD62B7"/>
    <w:rsid w:val="00BD62CA"/>
    <w:rsid w:val="00BD681C"/>
    <w:rsid w:val="00BD68F5"/>
    <w:rsid w:val="00BD6905"/>
    <w:rsid w:val="00BD6CD3"/>
    <w:rsid w:val="00BD6CFC"/>
    <w:rsid w:val="00BD773E"/>
    <w:rsid w:val="00BD7750"/>
    <w:rsid w:val="00BD7878"/>
    <w:rsid w:val="00BE0484"/>
    <w:rsid w:val="00BE055C"/>
    <w:rsid w:val="00BE13CA"/>
    <w:rsid w:val="00BE17AB"/>
    <w:rsid w:val="00BE19E8"/>
    <w:rsid w:val="00BE1A5A"/>
    <w:rsid w:val="00BE1C2C"/>
    <w:rsid w:val="00BE1FEE"/>
    <w:rsid w:val="00BE230E"/>
    <w:rsid w:val="00BE2792"/>
    <w:rsid w:val="00BE2FCE"/>
    <w:rsid w:val="00BE39BD"/>
    <w:rsid w:val="00BE4A65"/>
    <w:rsid w:val="00BE4B5B"/>
    <w:rsid w:val="00BE5A14"/>
    <w:rsid w:val="00BE5A44"/>
    <w:rsid w:val="00BE644B"/>
    <w:rsid w:val="00BE65F3"/>
    <w:rsid w:val="00BE7548"/>
    <w:rsid w:val="00BE7713"/>
    <w:rsid w:val="00BE7DFB"/>
    <w:rsid w:val="00BF0069"/>
    <w:rsid w:val="00BF006C"/>
    <w:rsid w:val="00BF08DC"/>
    <w:rsid w:val="00BF09B4"/>
    <w:rsid w:val="00BF0C08"/>
    <w:rsid w:val="00BF16B7"/>
    <w:rsid w:val="00BF1C4D"/>
    <w:rsid w:val="00BF1DFD"/>
    <w:rsid w:val="00BF1E27"/>
    <w:rsid w:val="00BF2429"/>
    <w:rsid w:val="00BF2ABC"/>
    <w:rsid w:val="00BF30CD"/>
    <w:rsid w:val="00BF32BF"/>
    <w:rsid w:val="00BF3A6C"/>
    <w:rsid w:val="00BF3EE7"/>
    <w:rsid w:val="00BF4122"/>
    <w:rsid w:val="00BF4BB7"/>
    <w:rsid w:val="00BF55BF"/>
    <w:rsid w:val="00BF565F"/>
    <w:rsid w:val="00BF5806"/>
    <w:rsid w:val="00BF5F4D"/>
    <w:rsid w:val="00BF64F8"/>
    <w:rsid w:val="00BF6D05"/>
    <w:rsid w:val="00BF6EB1"/>
    <w:rsid w:val="00BF7163"/>
    <w:rsid w:val="00BF7761"/>
    <w:rsid w:val="00BF7AAD"/>
    <w:rsid w:val="00BF7C2D"/>
    <w:rsid w:val="00C0010D"/>
    <w:rsid w:val="00C00D8C"/>
    <w:rsid w:val="00C01387"/>
    <w:rsid w:val="00C01B63"/>
    <w:rsid w:val="00C01DCE"/>
    <w:rsid w:val="00C01F86"/>
    <w:rsid w:val="00C022E7"/>
    <w:rsid w:val="00C027B1"/>
    <w:rsid w:val="00C02E43"/>
    <w:rsid w:val="00C03139"/>
    <w:rsid w:val="00C03282"/>
    <w:rsid w:val="00C03389"/>
    <w:rsid w:val="00C03569"/>
    <w:rsid w:val="00C035FB"/>
    <w:rsid w:val="00C03763"/>
    <w:rsid w:val="00C037BC"/>
    <w:rsid w:val="00C03C58"/>
    <w:rsid w:val="00C0475D"/>
    <w:rsid w:val="00C0558C"/>
    <w:rsid w:val="00C05D3B"/>
    <w:rsid w:val="00C0650B"/>
    <w:rsid w:val="00C06555"/>
    <w:rsid w:val="00C065CF"/>
    <w:rsid w:val="00C06CFE"/>
    <w:rsid w:val="00C077B7"/>
    <w:rsid w:val="00C0782B"/>
    <w:rsid w:val="00C10238"/>
    <w:rsid w:val="00C10317"/>
    <w:rsid w:val="00C104C0"/>
    <w:rsid w:val="00C107BE"/>
    <w:rsid w:val="00C108B2"/>
    <w:rsid w:val="00C12341"/>
    <w:rsid w:val="00C12A6E"/>
    <w:rsid w:val="00C12E83"/>
    <w:rsid w:val="00C146B6"/>
    <w:rsid w:val="00C147E6"/>
    <w:rsid w:val="00C14806"/>
    <w:rsid w:val="00C14B74"/>
    <w:rsid w:val="00C14DC7"/>
    <w:rsid w:val="00C15138"/>
    <w:rsid w:val="00C159A2"/>
    <w:rsid w:val="00C15A44"/>
    <w:rsid w:val="00C16F08"/>
    <w:rsid w:val="00C20330"/>
    <w:rsid w:val="00C2073C"/>
    <w:rsid w:val="00C20A66"/>
    <w:rsid w:val="00C20F1B"/>
    <w:rsid w:val="00C20F6E"/>
    <w:rsid w:val="00C20F8F"/>
    <w:rsid w:val="00C21BD0"/>
    <w:rsid w:val="00C22CA9"/>
    <w:rsid w:val="00C237C7"/>
    <w:rsid w:val="00C23B0A"/>
    <w:rsid w:val="00C23EC3"/>
    <w:rsid w:val="00C24633"/>
    <w:rsid w:val="00C248BA"/>
    <w:rsid w:val="00C24DA0"/>
    <w:rsid w:val="00C24EEE"/>
    <w:rsid w:val="00C25075"/>
    <w:rsid w:val="00C258AD"/>
    <w:rsid w:val="00C25D42"/>
    <w:rsid w:val="00C26440"/>
    <w:rsid w:val="00C264C8"/>
    <w:rsid w:val="00C268CD"/>
    <w:rsid w:val="00C26CD3"/>
    <w:rsid w:val="00C27142"/>
    <w:rsid w:val="00C27D18"/>
    <w:rsid w:val="00C30110"/>
    <w:rsid w:val="00C301CC"/>
    <w:rsid w:val="00C303F4"/>
    <w:rsid w:val="00C3050E"/>
    <w:rsid w:val="00C30F03"/>
    <w:rsid w:val="00C30F9B"/>
    <w:rsid w:val="00C316D9"/>
    <w:rsid w:val="00C31ADC"/>
    <w:rsid w:val="00C31FB1"/>
    <w:rsid w:val="00C326A1"/>
    <w:rsid w:val="00C32CFD"/>
    <w:rsid w:val="00C336C3"/>
    <w:rsid w:val="00C33708"/>
    <w:rsid w:val="00C33A54"/>
    <w:rsid w:val="00C34C19"/>
    <w:rsid w:val="00C34E18"/>
    <w:rsid w:val="00C34EE3"/>
    <w:rsid w:val="00C350E2"/>
    <w:rsid w:val="00C35BB5"/>
    <w:rsid w:val="00C36081"/>
    <w:rsid w:val="00C36D00"/>
    <w:rsid w:val="00C36DC3"/>
    <w:rsid w:val="00C36EF0"/>
    <w:rsid w:val="00C37164"/>
    <w:rsid w:val="00C37251"/>
    <w:rsid w:val="00C37537"/>
    <w:rsid w:val="00C37B52"/>
    <w:rsid w:val="00C37EA0"/>
    <w:rsid w:val="00C40079"/>
    <w:rsid w:val="00C4049A"/>
    <w:rsid w:val="00C4073D"/>
    <w:rsid w:val="00C409DC"/>
    <w:rsid w:val="00C41498"/>
    <w:rsid w:val="00C4253B"/>
    <w:rsid w:val="00C426D2"/>
    <w:rsid w:val="00C42CA0"/>
    <w:rsid w:val="00C42E1F"/>
    <w:rsid w:val="00C43551"/>
    <w:rsid w:val="00C43ABF"/>
    <w:rsid w:val="00C43D1A"/>
    <w:rsid w:val="00C43FC9"/>
    <w:rsid w:val="00C44918"/>
    <w:rsid w:val="00C45EB5"/>
    <w:rsid w:val="00C467AB"/>
    <w:rsid w:val="00C46957"/>
    <w:rsid w:val="00C46B18"/>
    <w:rsid w:val="00C46D99"/>
    <w:rsid w:val="00C47102"/>
    <w:rsid w:val="00C4714C"/>
    <w:rsid w:val="00C47256"/>
    <w:rsid w:val="00C474D1"/>
    <w:rsid w:val="00C50803"/>
    <w:rsid w:val="00C50E81"/>
    <w:rsid w:val="00C519B4"/>
    <w:rsid w:val="00C51EC3"/>
    <w:rsid w:val="00C527C3"/>
    <w:rsid w:val="00C52E6B"/>
    <w:rsid w:val="00C53168"/>
    <w:rsid w:val="00C538AB"/>
    <w:rsid w:val="00C53B5B"/>
    <w:rsid w:val="00C53DB7"/>
    <w:rsid w:val="00C5492F"/>
    <w:rsid w:val="00C5498C"/>
    <w:rsid w:val="00C55C68"/>
    <w:rsid w:val="00C55E67"/>
    <w:rsid w:val="00C5699F"/>
    <w:rsid w:val="00C56CF7"/>
    <w:rsid w:val="00C56DB6"/>
    <w:rsid w:val="00C57EED"/>
    <w:rsid w:val="00C606E4"/>
    <w:rsid w:val="00C60E6A"/>
    <w:rsid w:val="00C6105A"/>
    <w:rsid w:val="00C610F5"/>
    <w:rsid w:val="00C618A9"/>
    <w:rsid w:val="00C62A72"/>
    <w:rsid w:val="00C63288"/>
    <w:rsid w:val="00C6365B"/>
    <w:rsid w:val="00C639A2"/>
    <w:rsid w:val="00C63A26"/>
    <w:rsid w:val="00C63DD7"/>
    <w:rsid w:val="00C63F00"/>
    <w:rsid w:val="00C63F22"/>
    <w:rsid w:val="00C63FB4"/>
    <w:rsid w:val="00C645C2"/>
    <w:rsid w:val="00C645C5"/>
    <w:rsid w:val="00C64816"/>
    <w:rsid w:val="00C64C91"/>
    <w:rsid w:val="00C64EBF"/>
    <w:rsid w:val="00C65339"/>
    <w:rsid w:val="00C6669C"/>
    <w:rsid w:val="00C66B12"/>
    <w:rsid w:val="00C67298"/>
    <w:rsid w:val="00C67825"/>
    <w:rsid w:val="00C67A25"/>
    <w:rsid w:val="00C67B3E"/>
    <w:rsid w:val="00C70351"/>
    <w:rsid w:val="00C70427"/>
    <w:rsid w:val="00C70471"/>
    <w:rsid w:val="00C70989"/>
    <w:rsid w:val="00C714E2"/>
    <w:rsid w:val="00C7165B"/>
    <w:rsid w:val="00C71A30"/>
    <w:rsid w:val="00C71DC5"/>
    <w:rsid w:val="00C7220B"/>
    <w:rsid w:val="00C72955"/>
    <w:rsid w:val="00C73A2D"/>
    <w:rsid w:val="00C746CA"/>
    <w:rsid w:val="00C74805"/>
    <w:rsid w:val="00C7487B"/>
    <w:rsid w:val="00C755C6"/>
    <w:rsid w:val="00C755EA"/>
    <w:rsid w:val="00C75866"/>
    <w:rsid w:val="00C763EC"/>
    <w:rsid w:val="00C76AE2"/>
    <w:rsid w:val="00C76F28"/>
    <w:rsid w:val="00C77861"/>
    <w:rsid w:val="00C77AF9"/>
    <w:rsid w:val="00C8075B"/>
    <w:rsid w:val="00C80BD4"/>
    <w:rsid w:val="00C80C48"/>
    <w:rsid w:val="00C80F26"/>
    <w:rsid w:val="00C81235"/>
    <w:rsid w:val="00C814ED"/>
    <w:rsid w:val="00C8192E"/>
    <w:rsid w:val="00C819B4"/>
    <w:rsid w:val="00C81E4A"/>
    <w:rsid w:val="00C820F2"/>
    <w:rsid w:val="00C8255E"/>
    <w:rsid w:val="00C83083"/>
    <w:rsid w:val="00C8342C"/>
    <w:rsid w:val="00C837A5"/>
    <w:rsid w:val="00C83D81"/>
    <w:rsid w:val="00C840E2"/>
    <w:rsid w:val="00C843CB"/>
    <w:rsid w:val="00C85090"/>
    <w:rsid w:val="00C85FD8"/>
    <w:rsid w:val="00C860AE"/>
    <w:rsid w:val="00C8672C"/>
    <w:rsid w:val="00C86A7A"/>
    <w:rsid w:val="00C872B1"/>
    <w:rsid w:val="00C8743D"/>
    <w:rsid w:val="00C87929"/>
    <w:rsid w:val="00C906F1"/>
    <w:rsid w:val="00C9123B"/>
    <w:rsid w:val="00C91DED"/>
    <w:rsid w:val="00C91F06"/>
    <w:rsid w:val="00C92583"/>
    <w:rsid w:val="00C926EB"/>
    <w:rsid w:val="00C92ACE"/>
    <w:rsid w:val="00C92C7D"/>
    <w:rsid w:val="00C93A08"/>
    <w:rsid w:val="00C93C15"/>
    <w:rsid w:val="00C94401"/>
    <w:rsid w:val="00C94450"/>
    <w:rsid w:val="00C95161"/>
    <w:rsid w:val="00C9747D"/>
    <w:rsid w:val="00C9747E"/>
    <w:rsid w:val="00C97541"/>
    <w:rsid w:val="00C97660"/>
    <w:rsid w:val="00C97906"/>
    <w:rsid w:val="00C979DE"/>
    <w:rsid w:val="00C97BF6"/>
    <w:rsid w:val="00C97D86"/>
    <w:rsid w:val="00CA0225"/>
    <w:rsid w:val="00CA0366"/>
    <w:rsid w:val="00CA0D11"/>
    <w:rsid w:val="00CA1466"/>
    <w:rsid w:val="00CA187D"/>
    <w:rsid w:val="00CA1A0E"/>
    <w:rsid w:val="00CA20F0"/>
    <w:rsid w:val="00CA23B6"/>
    <w:rsid w:val="00CA2794"/>
    <w:rsid w:val="00CA2910"/>
    <w:rsid w:val="00CA2973"/>
    <w:rsid w:val="00CA2BC9"/>
    <w:rsid w:val="00CA2BDE"/>
    <w:rsid w:val="00CA2C3B"/>
    <w:rsid w:val="00CA2FFD"/>
    <w:rsid w:val="00CA3672"/>
    <w:rsid w:val="00CA3DA1"/>
    <w:rsid w:val="00CA3FE1"/>
    <w:rsid w:val="00CA45EE"/>
    <w:rsid w:val="00CA4D25"/>
    <w:rsid w:val="00CA5600"/>
    <w:rsid w:val="00CA5B85"/>
    <w:rsid w:val="00CA6E0D"/>
    <w:rsid w:val="00CA7B87"/>
    <w:rsid w:val="00CB0125"/>
    <w:rsid w:val="00CB01A4"/>
    <w:rsid w:val="00CB07DF"/>
    <w:rsid w:val="00CB0AF8"/>
    <w:rsid w:val="00CB0F37"/>
    <w:rsid w:val="00CB1191"/>
    <w:rsid w:val="00CB122B"/>
    <w:rsid w:val="00CB1A88"/>
    <w:rsid w:val="00CB279D"/>
    <w:rsid w:val="00CB284D"/>
    <w:rsid w:val="00CB2AAA"/>
    <w:rsid w:val="00CB3003"/>
    <w:rsid w:val="00CB37F5"/>
    <w:rsid w:val="00CB3FF2"/>
    <w:rsid w:val="00CB4276"/>
    <w:rsid w:val="00CB4427"/>
    <w:rsid w:val="00CB4597"/>
    <w:rsid w:val="00CB4697"/>
    <w:rsid w:val="00CB4803"/>
    <w:rsid w:val="00CB494F"/>
    <w:rsid w:val="00CB4CA2"/>
    <w:rsid w:val="00CB506A"/>
    <w:rsid w:val="00CB51C9"/>
    <w:rsid w:val="00CB59E1"/>
    <w:rsid w:val="00CB5CCB"/>
    <w:rsid w:val="00CB66BE"/>
    <w:rsid w:val="00CB7119"/>
    <w:rsid w:val="00CB76EF"/>
    <w:rsid w:val="00CB7CB8"/>
    <w:rsid w:val="00CC023E"/>
    <w:rsid w:val="00CC0B73"/>
    <w:rsid w:val="00CC0D12"/>
    <w:rsid w:val="00CC0F4C"/>
    <w:rsid w:val="00CC1471"/>
    <w:rsid w:val="00CC1507"/>
    <w:rsid w:val="00CC1528"/>
    <w:rsid w:val="00CC1DC5"/>
    <w:rsid w:val="00CC25B5"/>
    <w:rsid w:val="00CC2CDA"/>
    <w:rsid w:val="00CC2D33"/>
    <w:rsid w:val="00CC3233"/>
    <w:rsid w:val="00CC44D7"/>
    <w:rsid w:val="00CC48C4"/>
    <w:rsid w:val="00CC50D4"/>
    <w:rsid w:val="00CC51F9"/>
    <w:rsid w:val="00CC52C6"/>
    <w:rsid w:val="00CC5443"/>
    <w:rsid w:val="00CC5894"/>
    <w:rsid w:val="00CC5986"/>
    <w:rsid w:val="00CC5DD3"/>
    <w:rsid w:val="00CC61B2"/>
    <w:rsid w:val="00CC67EE"/>
    <w:rsid w:val="00CC6B57"/>
    <w:rsid w:val="00CC70B0"/>
    <w:rsid w:val="00CC7341"/>
    <w:rsid w:val="00CC76C1"/>
    <w:rsid w:val="00CD026F"/>
    <w:rsid w:val="00CD098D"/>
    <w:rsid w:val="00CD0B6D"/>
    <w:rsid w:val="00CD0E18"/>
    <w:rsid w:val="00CD16E6"/>
    <w:rsid w:val="00CD2A83"/>
    <w:rsid w:val="00CD2CB0"/>
    <w:rsid w:val="00CD3825"/>
    <w:rsid w:val="00CD4BD0"/>
    <w:rsid w:val="00CD4E2C"/>
    <w:rsid w:val="00CD52F1"/>
    <w:rsid w:val="00CD539F"/>
    <w:rsid w:val="00CD5D95"/>
    <w:rsid w:val="00CD7324"/>
    <w:rsid w:val="00CD7330"/>
    <w:rsid w:val="00CD7E06"/>
    <w:rsid w:val="00CD7F02"/>
    <w:rsid w:val="00CE25A4"/>
    <w:rsid w:val="00CE2F9C"/>
    <w:rsid w:val="00CE3BFF"/>
    <w:rsid w:val="00CE3DFD"/>
    <w:rsid w:val="00CE3F6B"/>
    <w:rsid w:val="00CE42A7"/>
    <w:rsid w:val="00CE4C05"/>
    <w:rsid w:val="00CE513F"/>
    <w:rsid w:val="00CE592D"/>
    <w:rsid w:val="00CE5BCF"/>
    <w:rsid w:val="00CE5CC5"/>
    <w:rsid w:val="00CE6C74"/>
    <w:rsid w:val="00CE6E00"/>
    <w:rsid w:val="00CE7317"/>
    <w:rsid w:val="00CE74CF"/>
    <w:rsid w:val="00CE7698"/>
    <w:rsid w:val="00CE77E9"/>
    <w:rsid w:val="00CE78EC"/>
    <w:rsid w:val="00CF0201"/>
    <w:rsid w:val="00CF03AF"/>
    <w:rsid w:val="00CF0402"/>
    <w:rsid w:val="00CF0D15"/>
    <w:rsid w:val="00CF0F58"/>
    <w:rsid w:val="00CF10EB"/>
    <w:rsid w:val="00CF17C2"/>
    <w:rsid w:val="00CF2177"/>
    <w:rsid w:val="00CF2956"/>
    <w:rsid w:val="00CF2A90"/>
    <w:rsid w:val="00CF3102"/>
    <w:rsid w:val="00CF3A2A"/>
    <w:rsid w:val="00CF3D0B"/>
    <w:rsid w:val="00CF4448"/>
    <w:rsid w:val="00CF45BD"/>
    <w:rsid w:val="00CF4F2A"/>
    <w:rsid w:val="00CF51D8"/>
    <w:rsid w:val="00CF54DD"/>
    <w:rsid w:val="00CF5DC1"/>
    <w:rsid w:val="00CF68ED"/>
    <w:rsid w:val="00CF6BCD"/>
    <w:rsid w:val="00CF7559"/>
    <w:rsid w:val="00CF75BB"/>
    <w:rsid w:val="00CF7825"/>
    <w:rsid w:val="00D0016D"/>
    <w:rsid w:val="00D0032F"/>
    <w:rsid w:val="00D00C3F"/>
    <w:rsid w:val="00D00E58"/>
    <w:rsid w:val="00D0190A"/>
    <w:rsid w:val="00D01FDB"/>
    <w:rsid w:val="00D0228D"/>
    <w:rsid w:val="00D02D9A"/>
    <w:rsid w:val="00D038DB"/>
    <w:rsid w:val="00D03AF7"/>
    <w:rsid w:val="00D03C63"/>
    <w:rsid w:val="00D04172"/>
    <w:rsid w:val="00D04722"/>
    <w:rsid w:val="00D04BBA"/>
    <w:rsid w:val="00D04F27"/>
    <w:rsid w:val="00D054CE"/>
    <w:rsid w:val="00D05DE1"/>
    <w:rsid w:val="00D05EAA"/>
    <w:rsid w:val="00D05F3C"/>
    <w:rsid w:val="00D06A28"/>
    <w:rsid w:val="00D06AC6"/>
    <w:rsid w:val="00D07395"/>
    <w:rsid w:val="00D0763C"/>
    <w:rsid w:val="00D07A35"/>
    <w:rsid w:val="00D102D1"/>
    <w:rsid w:val="00D10E5F"/>
    <w:rsid w:val="00D11353"/>
    <w:rsid w:val="00D113E7"/>
    <w:rsid w:val="00D11EC6"/>
    <w:rsid w:val="00D12572"/>
    <w:rsid w:val="00D127C0"/>
    <w:rsid w:val="00D129EE"/>
    <w:rsid w:val="00D12B04"/>
    <w:rsid w:val="00D133B7"/>
    <w:rsid w:val="00D13B74"/>
    <w:rsid w:val="00D13DA0"/>
    <w:rsid w:val="00D14B74"/>
    <w:rsid w:val="00D14CB5"/>
    <w:rsid w:val="00D1510B"/>
    <w:rsid w:val="00D1559B"/>
    <w:rsid w:val="00D15DC9"/>
    <w:rsid w:val="00D1721B"/>
    <w:rsid w:val="00D21D03"/>
    <w:rsid w:val="00D21F69"/>
    <w:rsid w:val="00D226E7"/>
    <w:rsid w:val="00D22A93"/>
    <w:rsid w:val="00D22D9B"/>
    <w:rsid w:val="00D23762"/>
    <w:rsid w:val="00D23B1E"/>
    <w:rsid w:val="00D23C32"/>
    <w:rsid w:val="00D23EFC"/>
    <w:rsid w:val="00D24456"/>
    <w:rsid w:val="00D24559"/>
    <w:rsid w:val="00D245D3"/>
    <w:rsid w:val="00D25EFA"/>
    <w:rsid w:val="00D25FDF"/>
    <w:rsid w:val="00D2612A"/>
    <w:rsid w:val="00D26A7F"/>
    <w:rsid w:val="00D27526"/>
    <w:rsid w:val="00D27959"/>
    <w:rsid w:val="00D27AE6"/>
    <w:rsid w:val="00D31382"/>
    <w:rsid w:val="00D31A1C"/>
    <w:rsid w:val="00D31E08"/>
    <w:rsid w:val="00D31F83"/>
    <w:rsid w:val="00D32051"/>
    <w:rsid w:val="00D323DC"/>
    <w:rsid w:val="00D32572"/>
    <w:rsid w:val="00D32AAE"/>
    <w:rsid w:val="00D32E82"/>
    <w:rsid w:val="00D335CA"/>
    <w:rsid w:val="00D340DF"/>
    <w:rsid w:val="00D34CBB"/>
    <w:rsid w:val="00D354D4"/>
    <w:rsid w:val="00D35750"/>
    <w:rsid w:val="00D35C04"/>
    <w:rsid w:val="00D35D61"/>
    <w:rsid w:val="00D35D83"/>
    <w:rsid w:val="00D36009"/>
    <w:rsid w:val="00D36C78"/>
    <w:rsid w:val="00D36CF9"/>
    <w:rsid w:val="00D37482"/>
    <w:rsid w:val="00D374DB"/>
    <w:rsid w:val="00D402A8"/>
    <w:rsid w:val="00D407E6"/>
    <w:rsid w:val="00D408D5"/>
    <w:rsid w:val="00D40C91"/>
    <w:rsid w:val="00D40FAC"/>
    <w:rsid w:val="00D4101C"/>
    <w:rsid w:val="00D41053"/>
    <w:rsid w:val="00D41C49"/>
    <w:rsid w:val="00D422E9"/>
    <w:rsid w:val="00D4250C"/>
    <w:rsid w:val="00D42D9A"/>
    <w:rsid w:val="00D43760"/>
    <w:rsid w:val="00D4390E"/>
    <w:rsid w:val="00D43DFD"/>
    <w:rsid w:val="00D45043"/>
    <w:rsid w:val="00D455ED"/>
    <w:rsid w:val="00D459D8"/>
    <w:rsid w:val="00D45CA4"/>
    <w:rsid w:val="00D464F8"/>
    <w:rsid w:val="00D46688"/>
    <w:rsid w:val="00D46D2A"/>
    <w:rsid w:val="00D4756F"/>
    <w:rsid w:val="00D47723"/>
    <w:rsid w:val="00D477E2"/>
    <w:rsid w:val="00D47A0A"/>
    <w:rsid w:val="00D47AC5"/>
    <w:rsid w:val="00D47F62"/>
    <w:rsid w:val="00D50E87"/>
    <w:rsid w:val="00D50EA2"/>
    <w:rsid w:val="00D51519"/>
    <w:rsid w:val="00D519E8"/>
    <w:rsid w:val="00D51C34"/>
    <w:rsid w:val="00D528B3"/>
    <w:rsid w:val="00D52F31"/>
    <w:rsid w:val="00D5342D"/>
    <w:rsid w:val="00D5408B"/>
    <w:rsid w:val="00D540B0"/>
    <w:rsid w:val="00D54B34"/>
    <w:rsid w:val="00D5556F"/>
    <w:rsid w:val="00D559B1"/>
    <w:rsid w:val="00D55BBC"/>
    <w:rsid w:val="00D55C51"/>
    <w:rsid w:val="00D56D60"/>
    <w:rsid w:val="00D56E83"/>
    <w:rsid w:val="00D56F92"/>
    <w:rsid w:val="00D57119"/>
    <w:rsid w:val="00D57844"/>
    <w:rsid w:val="00D5795B"/>
    <w:rsid w:val="00D57C07"/>
    <w:rsid w:val="00D60070"/>
    <w:rsid w:val="00D60316"/>
    <w:rsid w:val="00D61F6E"/>
    <w:rsid w:val="00D62171"/>
    <w:rsid w:val="00D62E4B"/>
    <w:rsid w:val="00D6376D"/>
    <w:rsid w:val="00D646EE"/>
    <w:rsid w:val="00D64A72"/>
    <w:rsid w:val="00D651FC"/>
    <w:rsid w:val="00D65583"/>
    <w:rsid w:val="00D657D9"/>
    <w:rsid w:val="00D659C4"/>
    <w:rsid w:val="00D65BE5"/>
    <w:rsid w:val="00D66181"/>
    <w:rsid w:val="00D66328"/>
    <w:rsid w:val="00D66AB6"/>
    <w:rsid w:val="00D66E14"/>
    <w:rsid w:val="00D677DF"/>
    <w:rsid w:val="00D679B2"/>
    <w:rsid w:val="00D67D8A"/>
    <w:rsid w:val="00D67F8D"/>
    <w:rsid w:val="00D7010C"/>
    <w:rsid w:val="00D7063C"/>
    <w:rsid w:val="00D71B89"/>
    <w:rsid w:val="00D71D51"/>
    <w:rsid w:val="00D7247B"/>
    <w:rsid w:val="00D72ADD"/>
    <w:rsid w:val="00D72C7C"/>
    <w:rsid w:val="00D7332D"/>
    <w:rsid w:val="00D73333"/>
    <w:rsid w:val="00D738EE"/>
    <w:rsid w:val="00D7434B"/>
    <w:rsid w:val="00D74815"/>
    <w:rsid w:val="00D75C1F"/>
    <w:rsid w:val="00D75EA9"/>
    <w:rsid w:val="00D760E3"/>
    <w:rsid w:val="00D76390"/>
    <w:rsid w:val="00D767AA"/>
    <w:rsid w:val="00D775B7"/>
    <w:rsid w:val="00D7798B"/>
    <w:rsid w:val="00D802E2"/>
    <w:rsid w:val="00D805F4"/>
    <w:rsid w:val="00D80930"/>
    <w:rsid w:val="00D80A9B"/>
    <w:rsid w:val="00D810CB"/>
    <w:rsid w:val="00D8168C"/>
    <w:rsid w:val="00D819C6"/>
    <w:rsid w:val="00D81A68"/>
    <w:rsid w:val="00D81C0B"/>
    <w:rsid w:val="00D82482"/>
    <w:rsid w:val="00D8250F"/>
    <w:rsid w:val="00D825EB"/>
    <w:rsid w:val="00D8316E"/>
    <w:rsid w:val="00D83617"/>
    <w:rsid w:val="00D838CD"/>
    <w:rsid w:val="00D83D1A"/>
    <w:rsid w:val="00D8422B"/>
    <w:rsid w:val="00D84441"/>
    <w:rsid w:val="00D84DCF"/>
    <w:rsid w:val="00D85339"/>
    <w:rsid w:val="00D855FB"/>
    <w:rsid w:val="00D85F07"/>
    <w:rsid w:val="00D861C1"/>
    <w:rsid w:val="00D86431"/>
    <w:rsid w:val="00D869C6"/>
    <w:rsid w:val="00D86B35"/>
    <w:rsid w:val="00D90255"/>
    <w:rsid w:val="00D90B12"/>
    <w:rsid w:val="00D916B9"/>
    <w:rsid w:val="00D91F90"/>
    <w:rsid w:val="00D92441"/>
    <w:rsid w:val="00D92A52"/>
    <w:rsid w:val="00D9465A"/>
    <w:rsid w:val="00D9487B"/>
    <w:rsid w:val="00D94DF1"/>
    <w:rsid w:val="00D951DC"/>
    <w:rsid w:val="00D952CD"/>
    <w:rsid w:val="00D955F1"/>
    <w:rsid w:val="00D95C6F"/>
    <w:rsid w:val="00D95DE4"/>
    <w:rsid w:val="00D9617E"/>
    <w:rsid w:val="00D963D9"/>
    <w:rsid w:val="00D965BC"/>
    <w:rsid w:val="00D96A45"/>
    <w:rsid w:val="00D96F1E"/>
    <w:rsid w:val="00D96F25"/>
    <w:rsid w:val="00D97132"/>
    <w:rsid w:val="00D977AE"/>
    <w:rsid w:val="00D979FD"/>
    <w:rsid w:val="00D97C93"/>
    <w:rsid w:val="00DA04B6"/>
    <w:rsid w:val="00DA0572"/>
    <w:rsid w:val="00DA0639"/>
    <w:rsid w:val="00DA064A"/>
    <w:rsid w:val="00DA06E5"/>
    <w:rsid w:val="00DA0720"/>
    <w:rsid w:val="00DA0E78"/>
    <w:rsid w:val="00DA0ED6"/>
    <w:rsid w:val="00DA1151"/>
    <w:rsid w:val="00DA1469"/>
    <w:rsid w:val="00DA1CDD"/>
    <w:rsid w:val="00DA2080"/>
    <w:rsid w:val="00DA20E8"/>
    <w:rsid w:val="00DA273D"/>
    <w:rsid w:val="00DA27F9"/>
    <w:rsid w:val="00DA28F6"/>
    <w:rsid w:val="00DA457B"/>
    <w:rsid w:val="00DA45EF"/>
    <w:rsid w:val="00DA4B3D"/>
    <w:rsid w:val="00DA6B4E"/>
    <w:rsid w:val="00DA7227"/>
    <w:rsid w:val="00DA7465"/>
    <w:rsid w:val="00DA7B05"/>
    <w:rsid w:val="00DA7C0B"/>
    <w:rsid w:val="00DB030B"/>
    <w:rsid w:val="00DB05E9"/>
    <w:rsid w:val="00DB13D4"/>
    <w:rsid w:val="00DB1801"/>
    <w:rsid w:val="00DB22FA"/>
    <w:rsid w:val="00DB237A"/>
    <w:rsid w:val="00DB2B66"/>
    <w:rsid w:val="00DB2FEB"/>
    <w:rsid w:val="00DB317C"/>
    <w:rsid w:val="00DB349A"/>
    <w:rsid w:val="00DB3A80"/>
    <w:rsid w:val="00DB4423"/>
    <w:rsid w:val="00DB4754"/>
    <w:rsid w:val="00DB555C"/>
    <w:rsid w:val="00DB557F"/>
    <w:rsid w:val="00DB5A0F"/>
    <w:rsid w:val="00DB5FAD"/>
    <w:rsid w:val="00DB605C"/>
    <w:rsid w:val="00DB63EF"/>
    <w:rsid w:val="00DC02AB"/>
    <w:rsid w:val="00DC0B02"/>
    <w:rsid w:val="00DC171E"/>
    <w:rsid w:val="00DC25B7"/>
    <w:rsid w:val="00DC2688"/>
    <w:rsid w:val="00DC2B0A"/>
    <w:rsid w:val="00DC2DE8"/>
    <w:rsid w:val="00DC4089"/>
    <w:rsid w:val="00DC46B5"/>
    <w:rsid w:val="00DC4806"/>
    <w:rsid w:val="00DC4AE6"/>
    <w:rsid w:val="00DC566A"/>
    <w:rsid w:val="00DC5A4C"/>
    <w:rsid w:val="00DC682D"/>
    <w:rsid w:val="00DC6EDA"/>
    <w:rsid w:val="00DC7012"/>
    <w:rsid w:val="00DC7719"/>
    <w:rsid w:val="00DC77B9"/>
    <w:rsid w:val="00DC783F"/>
    <w:rsid w:val="00DC7B90"/>
    <w:rsid w:val="00DC7FA2"/>
    <w:rsid w:val="00DD027F"/>
    <w:rsid w:val="00DD0E83"/>
    <w:rsid w:val="00DD1732"/>
    <w:rsid w:val="00DD1E99"/>
    <w:rsid w:val="00DD2451"/>
    <w:rsid w:val="00DD313E"/>
    <w:rsid w:val="00DD3954"/>
    <w:rsid w:val="00DD3975"/>
    <w:rsid w:val="00DD408A"/>
    <w:rsid w:val="00DD4A5F"/>
    <w:rsid w:val="00DD5257"/>
    <w:rsid w:val="00DD5409"/>
    <w:rsid w:val="00DD6912"/>
    <w:rsid w:val="00DD6EF6"/>
    <w:rsid w:val="00DD7AB4"/>
    <w:rsid w:val="00DE0265"/>
    <w:rsid w:val="00DE0C7C"/>
    <w:rsid w:val="00DE0EDF"/>
    <w:rsid w:val="00DE0EE4"/>
    <w:rsid w:val="00DE180B"/>
    <w:rsid w:val="00DE207E"/>
    <w:rsid w:val="00DE3190"/>
    <w:rsid w:val="00DE3926"/>
    <w:rsid w:val="00DE3A7B"/>
    <w:rsid w:val="00DE4580"/>
    <w:rsid w:val="00DE48DF"/>
    <w:rsid w:val="00DE5249"/>
    <w:rsid w:val="00DE5C91"/>
    <w:rsid w:val="00DE5F72"/>
    <w:rsid w:val="00DE6965"/>
    <w:rsid w:val="00DE6EF1"/>
    <w:rsid w:val="00DE737A"/>
    <w:rsid w:val="00DE77B1"/>
    <w:rsid w:val="00DE7F85"/>
    <w:rsid w:val="00DF09F9"/>
    <w:rsid w:val="00DF0A97"/>
    <w:rsid w:val="00DF109D"/>
    <w:rsid w:val="00DF131D"/>
    <w:rsid w:val="00DF166B"/>
    <w:rsid w:val="00DF1778"/>
    <w:rsid w:val="00DF1D01"/>
    <w:rsid w:val="00DF1D6C"/>
    <w:rsid w:val="00DF209D"/>
    <w:rsid w:val="00DF268B"/>
    <w:rsid w:val="00DF2B50"/>
    <w:rsid w:val="00DF2F83"/>
    <w:rsid w:val="00DF3760"/>
    <w:rsid w:val="00DF45BB"/>
    <w:rsid w:val="00DF46DF"/>
    <w:rsid w:val="00DF4B25"/>
    <w:rsid w:val="00DF4C1E"/>
    <w:rsid w:val="00DF4F39"/>
    <w:rsid w:val="00DF504D"/>
    <w:rsid w:val="00DF530A"/>
    <w:rsid w:val="00DF5554"/>
    <w:rsid w:val="00DF5BD3"/>
    <w:rsid w:val="00DF613F"/>
    <w:rsid w:val="00DF637B"/>
    <w:rsid w:val="00DF6462"/>
    <w:rsid w:val="00DF6816"/>
    <w:rsid w:val="00DF6859"/>
    <w:rsid w:val="00DF6979"/>
    <w:rsid w:val="00DF737A"/>
    <w:rsid w:val="00DF7E7A"/>
    <w:rsid w:val="00E002CF"/>
    <w:rsid w:val="00E0037E"/>
    <w:rsid w:val="00E004C8"/>
    <w:rsid w:val="00E00502"/>
    <w:rsid w:val="00E00692"/>
    <w:rsid w:val="00E00976"/>
    <w:rsid w:val="00E00B3F"/>
    <w:rsid w:val="00E00CD4"/>
    <w:rsid w:val="00E01B12"/>
    <w:rsid w:val="00E01CB8"/>
    <w:rsid w:val="00E01E12"/>
    <w:rsid w:val="00E02281"/>
    <w:rsid w:val="00E0245C"/>
    <w:rsid w:val="00E0295E"/>
    <w:rsid w:val="00E02B5F"/>
    <w:rsid w:val="00E02FA4"/>
    <w:rsid w:val="00E02FDC"/>
    <w:rsid w:val="00E031EA"/>
    <w:rsid w:val="00E031EB"/>
    <w:rsid w:val="00E0329B"/>
    <w:rsid w:val="00E035F2"/>
    <w:rsid w:val="00E03C7A"/>
    <w:rsid w:val="00E040EF"/>
    <w:rsid w:val="00E0439D"/>
    <w:rsid w:val="00E0474E"/>
    <w:rsid w:val="00E04F8E"/>
    <w:rsid w:val="00E057AC"/>
    <w:rsid w:val="00E05DF7"/>
    <w:rsid w:val="00E0665C"/>
    <w:rsid w:val="00E06825"/>
    <w:rsid w:val="00E06DA4"/>
    <w:rsid w:val="00E076B0"/>
    <w:rsid w:val="00E1047F"/>
    <w:rsid w:val="00E110BD"/>
    <w:rsid w:val="00E111E4"/>
    <w:rsid w:val="00E111F2"/>
    <w:rsid w:val="00E11FA9"/>
    <w:rsid w:val="00E12271"/>
    <w:rsid w:val="00E12D36"/>
    <w:rsid w:val="00E13186"/>
    <w:rsid w:val="00E1338C"/>
    <w:rsid w:val="00E13EC7"/>
    <w:rsid w:val="00E14C13"/>
    <w:rsid w:val="00E14FD3"/>
    <w:rsid w:val="00E15512"/>
    <w:rsid w:val="00E1551A"/>
    <w:rsid w:val="00E15890"/>
    <w:rsid w:val="00E15B17"/>
    <w:rsid w:val="00E15BB4"/>
    <w:rsid w:val="00E1642A"/>
    <w:rsid w:val="00E165A2"/>
    <w:rsid w:val="00E16637"/>
    <w:rsid w:val="00E1696D"/>
    <w:rsid w:val="00E1736E"/>
    <w:rsid w:val="00E174CC"/>
    <w:rsid w:val="00E17FF6"/>
    <w:rsid w:val="00E202FD"/>
    <w:rsid w:val="00E2079B"/>
    <w:rsid w:val="00E209A8"/>
    <w:rsid w:val="00E209FD"/>
    <w:rsid w:val="00E20FEC"/>
    <w:rsid w:val="00E21371"/>
    <w:rsid w:val="00E214EE"/>
    <w:rsid w:val="00E219FD"/>
    <w:rsid w:val="00E222B2"/>
    <w:rsid w:val="00E229B7"/>
    <w:rsid w:val="00E22B51"/>
    <w:rsid w:val="00E23067"/>
    <w:rsid w:val="00E2387A"/>
    <w:rsid w:val="00E23A15"/>
    <w:rsid w:val="00E241BC"/>
    <w:rsid w:val="00E24933"/>
    <w:rsid w:val="00E24A94"/>
    <w:rsid w:val="00E24EA1"/>
    <w:rsid w:val="00E25047"/>
    <w:rsid w:val="00E2519B"/>
    <w:rsid w:val="00E2557B"/>
    <w:rsid w:val="00E25890"/>
    <w:rsid w:val="00E25A07"/>
    <w:rsid w:val="00E2625B"/>
    <w:rsid w:val="00E26C36"/>
    <w:rsid w:val="00E271AE"/>
    <w:rsid w:val="00E30AD0"/>
    <w:rsid w:val="00E30B73"/>
    <w:rsid w:val="00E30D3E"/>
    <w:rsid w:val="00E3131D"/>
    <w:rsid w:val="00E314CC"/>
    <w:rsid w:val="00E31624"/>
    <w:rsid w:val="00E316C4"/>
    <w:rsid w:val="00E31963"/>
    <w:rsid w:val="00E319ED"/>
    <w:rsid w:val="00E31CA2"/>
    <w:rsid w:val="00E31DA2"/>
    <w:rsid w:val="00E32460"/>
    <w:rsid w:val="00E325F6"/>
    <w:rsid w:val="00E32E3E"/>
    <w:rsid w:val="00E3359A"/>
    <w:rsid w:val="00E33760"/>
    <w:rsid w:val="00E337B6"/>
    <w:rsid w:val="00E33A5F"/>
    <w:rsid w:val="00E343EE"/>
    <w:rsid w:val="00E34711"/>
    <w:rsid w:val="00E34907"/>
    <w:rsid w:val="00E34D34"/>
    <w:rsid w:val="00E35054"/>
    <w:rsid w:val="00E35A6B"/>
    <w:rsid w:val="00E35AE6"/>
    <w:rsid w:val="00E35C8C"/>
    <w:rsid w:val="00E35F3B"/>
    <w:rsid w:val="00E3642F"/>
    <w:rsid w:val="00E36AEE"/>
    <w:rsid w:val="00E36FFE"/>
    <w:rsid w:val="00E37293"/>
    <w:rsid w:val="00E3762B"/>
    <w:rsid w:val="00E3787C"/>
    <w:rsid w:val="00E37EEB"/>
    <w:rsid w:val="00E40334"/>
    <w:rsid w:val="00E4036F"/>
    <w:rsid w:val="00E406BD"/>
    <w:rsid w:val="00E40B32"/>
    <w:rsid w:val="00E4128D"/>
    <w:rsid w:val="00E419E6"/>
    <w:rsid w:val="00E41DAA"/>
    <w:rsid w:val="00E42A12"/>
    <w:rsid w:val="00E43016"/>
    <w:rsid w:val="00E434D5"/>
    <w:rsid w:val="00E4386D"/>
    <w:rsid w:val="00E43A41"/>
    <w:rsid w:val="00E44430"/>
    <w:rsid w:val="00E444D2"/>
    <w:rsid w:val="00E45637"/>
    <w:rsid w:val="00E45BCD"/>
    <w:rsid w:val="00E45C38"/>
    <w:rsid w:val="00E46019"/>
    <w:rsid w:val="00E461C9"/>
    <w:rsid w:val="00E46776"/>
    <w:rsid w:val="00E46A3E"/>
    <w:rsid w:val="00E46ADC"/>
    <w:rsid w:val="00E46B63"/>
    <w:rsid w:val="00E47295"/>
    <w:rsid w:val="00E4754B"/>
    <w:rsid w:val="00E47DB5"/>
    <w:rsid w:val="00E5089C"/>
    <w:rsid w:val="00E50991"/>
    <w:rsid w:val="00E515E1"/>
    <w:rsid w:val="00E51C5B"/>
    <w:rsid w:val="00E51DA4"/>
    <w:rsid w:val="00E51DFF"/>
    <w:rsid w:val="00E51E45"/>
    <w:rsid w:val="00E5250C"/>
    <w:rsid w:val="00E52842"/>
    <w:rsid w:val="00E52CAD"/>
    <w:rsid w:val="00E52F96"/>
    <w:rsid w:val="00E53225"/>
    <w:rsid w:val="00E53E4C"/>
    <w:rsid w:val="00E544ED"/>
    <w:rsid w:val="00E546BA"/>
    <w:rsid w:val="00E550D5"/>
    <w:rsid w:val="00E5514C"/>
    <w:rsid w:val="00E55E7F"/>
    <w:rsid w:val="00E563B0"/>
    <w:rsid w:val="00E56BC9"/>
    <w:rsid w:val="00E56CEF"/>
    <w:rsid w:val="00E56D2E"/>
    <w:rsid w:val="00E5710E"/>
    <w:rsid w:val="00E57812"/>
    <w:rsid w:val="00E601A5"/>
    <w:rsid w:val="00E60BC6"/>
    <w:rsid w:val="00E60F6C"/>
    <w:rsid w:val="00E60FB0"/>
    <w:rsid w:val="00E610C4"/>
    <w:rsid w:val="00E62C38"/>
    <w:rsid w:val="00E631F2"/>
    <w:rsid w:val="00E63810"/>
    <w:rsid w:val="00E6484E"/>
    <w:rsid w:val="00E65429"/>
    <w:rsid w:val="00E65843"/>
    <w:rsid w:val="00E65982"/>
    <w:rsid w:val="00E65C1F"/>
    <w:rsid w:val="00E66327"/>
    <w:rsid w:val="00E664C4"/>
    <w:rsid w:val="00E66937"/>
    <w:rsid w:val="00E66B9F"/>
    <w:rsid w:val="00E67370"/>
    <w:rsid w:val="00E67A99"/>
    <w:rsid w:val="00E67B24"/>
    <w:rsid w:val="00E7077B"/>
    <w:rsid w:val="00E70788"/>
    <w:rsid w:val="00E70A3F"/>
    <w:rsid w:val="00E70A57"/>
    <w:rsid w:val="00E711A5"/>
    <w:rsid w:val="00E71236"/>
    <w:rsid w:val="00E7146B"/>
    <w:rsid w:val="00E7151A"/>
    <w:rsid w:val="00E7156B"/>
    <w:rsid w:val="00E71C0A"/>
    <w:rsid w:val="00E71F13"/>
    <w:rsid w:val="00E723E6"/>
    <w:rsid w:val="00E7247A"/>
    <w:rsid w:val="00E725B5"/>
    <w:rsid w:val="00E72648"/>
    <w:rsid w:val="00E72977"/>
    <w:rsid w:val="00E72E66"/>
    <w:rsid w:val="00E72F9C"/>
    <w:rsid w:val="00E73D49"/>
    <w:rsid w:val="00E73DB1"/>
    <w:rsid w:val="00E74346"/>
    <w:rsid w:val="00E74466"/>
    <w:rsid w:val="00E74710"/>
    <w:rsid w:val="00E74E45"/>
    <w:rsid w:val="00E74F8D"/>
    <w:rsid w:val="00E74FC1"/>
    <w:rsid w:val="00E750E3"/>
    <w:rsid w:val="00E75231"/>
    <w:rsid w:val="00E754C5"/>
    <w:rsid w:val="00E75B10"/>
    <w:rsid w:val="00E75D40"/>
    <w:rsid w:val="00E75E4C"/>
    <w:rsid w:val="00E7663F"/>
    <w:rsid w:val="00E768C2"/>
    <w:rsid w:val="00E76E97"/>
    <w:rsid w:val="00E7713D"/>
    <w:rsid w:val="00E7719F"/>
    <w:rsid w:val="00E7759A"/>
    <w:rsid w:val="00E77987"/>
    <w:rsid w:val="00E779B1"/>
    <w:rsid w:val="00E77CBA"/>
    <w:rsid w:val="00E821E8"/>
    <w:rsid w:val="00E821EF"/>
    <w:rsid w:val="00E827D1"/>
    <w:rsid w:val="00E8297A"/>
    <w:rsid w:val="00E82A72"/>
    <w:rsid w:val="00E8394C"/>
    <w:rsid w:val="00E839E7"/>
    <w:rsid w:val="00E8432D"/>
    <w:rsid w:val="00E84E3E"/>
    <w:rsid w:val="00E8528F"/>
    <w:rsid w:val="00E85500"/>
    <w:rsid w:val="00E8552E"/>
    <w:rsid w:val="00E85856"/>
    <w:rsid w:val="00E859AC"/>
    <w:rsid w:val="00E85C5E"/>
    <w:rsid w:val="00E85EB8"/>
    <w:rsid w:val="00E85FEA"/>
    <w:rsid w:val="00E86907"/>
    <w:rsid w:val="00E86B93"/>
    <w:rsid w:val="00E86E97"/>
    <w:rsid w:val="00E870C5"/>
    <w:rsid w:val="00E8720A"/>
    <w:rsid w:val="00E874DE"/>
    <w:rsid w:val="00E87912"/>
    <w:rsid w:val="00E90B42"/>
    <w:rsid w:val="00E90C25"/>
    <w:rsid w:val="00E90E3C"/>
    <w:rsid w:val="00E90FD7"/>
    <w:rsid w:val="00E91C49"/>
    <w:rsid w:val="00E91FEF"/>
    <w:rsid w:val="00E93214"/>
    <w:rsid w:val="00E9341F"/>
    <w:rsid w:val="00E93606"/>
    <w:rsid w:val="00E942CB"/>
    <w:rsid w:val="00E94443"/>
    <w:rsid w:val="00E950D3"/>
    <w:rsid w:val="00E95179"/>
    <w:rsid w:val="00E95899"/>
    <w:rsid w:val="00E95CE4"/>
    <w:rsid w:val="00E95DB8"/>
    <w:rsid w:val="00EA0383"/>
    <w:rsid w:val="00EA0A28"/>
    <w:rsid w:val="00EA0EF5"/>
    <w:rsid w:val="00EA10BC"/>
    <w:rsid w:val="00EA1D36"/>
    <w:rsid w:val="00EA1F2A"/>
    <w:rsid w:val="00EA2BC4"/>
    <w:rsid w:val="00EA2E85"/>
    <w:rsid w:val="00EA3FB0"/>
    <w:rsid w:val="00EA434E"/>
    <w:rsid w:val="00EA472C"/>
    <w:rsid w:val="00EA49D0"/>
    <w:rsid w:val="00EA4CBA"/>
    <w:rsid w:val="00EA4F9B"/>
    <w:rsid w:val="00EA54AC"/>
    <w:rsid w:val="00EA57D1"/>
    <w:rsid w:val="00EA5893"/>
    <w:rsid w:val="00EA5C68"/>
    <w:rsid w:val="00EA5EDA"/>
    <w:rsid w:val="00EA6A6E"/>
    <w:rsid w:val="00EA7A32"/>
    <w:rsid w:val="00EA7B10"/>
    <w:rsid w:val="00EA7C9C"/>
    <w:rsid w:val="00EB002E"/>
    <w:rsid w:val="00EB03C7"/>
    <w:rsid w:val="00EB059A"/>
    <w:rsid w:val="00EB1D3D"/>
    <w:rsid w:val="00EB24EF"/>
    <w:rsid w:val="00EB26E5"/>
    <w:rsid w:val="00EB295B"/>
    <w:rsid w:val="00EB2D35"/>
    <w:rsid w:val="00EB31DE"/>
    <w:rsid w:val="00EB34B5"/>
    <w:rsid w:val="00EB38FA"/>
    <w:rsid w:val="00EB46BA"/>
    <w:rsid w:val="00EB4C87"/>
    <w:rsid w:val="00EB4D88"/>
    <w:rsid w:val="00EB5262"/>
    <w:rsid w:val="00EB54DA"/>
    <w:rsid w:val="00EB5AB4"/>
    <w:rsid w:val="00EB5CF4"/>
    <w:rsid w:val="00EB63C8"/>
    <w:rsid w:val="00EB6503"/>
    <w:rsid w:val="00EB6652"/>
    <w:rsid w:val="00EB6F39"/>
    <w:rsid w:val="00EB7418"/>
    <w:rsid w:val="00EB7588"/>
    <w:rsid w:val="00EB7699"/>
    <w:rsid w:val="00EB7836"/>
    <w:rsid w:val="00EB7CF1"/>
    <w:rsid w:val="00EB7D99"/>
    <w:rsid w:val="00EC0A09"/>
    <w:rsid w:val="00EC0D7E"/>
    <w:rsid w:val="00EC0FCA"/>
    <w:rsid w:val="00EC1504"/>
    <w:rsid w:val="00EC15B7"/>
    <w:rsid w:val="00EC1A20"/>
    <w:rsid w:val="00EC27BC"/>
    <w:rsid w:val="00EC28D5"/>
    <w:rsid w:val="00EC29E9"/>
    <w:rsid w:val="00EC2A79"/>
    <w:rsid w:val="00EC2B25"/>
    <w:rsid w:val="00EC3E89"/>
    <w:rsid w:val="00EC433F"/>
    <w:rsid w:val="00EC48AC"/>
    <w:rsid w:val="00EC4ED1"/>
    <w:rsid w:val="00EC508F"/>
    <w:rsid w:val="00EC51DC"/>
    <w:rsid w:val="00EC523D"/>
    <w:rsid w:val="00EC55AD"/>
    <w:rsid w:val="00EC5BAD"/>
    <w:rsid w:val="00EC5F63"/>
    <w:rsid w:val="00EC62E8"/>
    <w:rsid w:val="00EC63B1"/>
    <w:rsid w:val="00EC6818"/>
    <w:rsid w:val="00EC6C30"/>
    <w:rsid w:val="00EC7474"/>
    <w:rsid w:val="00EC76F5"/>
    <w:rsid w:val="00EC7C8E"/>
    <w:rsid w:val="00ED0EA4"/>
    <w:rsid w:val="00ED12C6"/>
    <w:rsid w:val="00ED161A"/>
    <w:rsid w:val="00ED19AD"/>
    <w:rsid w:val="00ED1A3B"/>
    <w:rsid w:val="00ED21F1"/>
    <w:rsid w:val="00ED2C6D"/>
    <w:rsid w:val="00ED2E08"/>
    <w:rsid w:val="00ED35E1"/>
    <w:rsid w:val="00ED457E"/>
    <w:rsid w:val="00ED5019"/>
    <w:rsid w:val="00ED53D0"/>
    <w:rsid w:val="00ED5775"/>
    <w:rsid w:val="00ED577E"/>
    <w:rsid w:val="00ED7000"/>
    <w:rsid w:val="00ED7083"/>
    <w:rsid w:val="00ED7185"/>
    <w:rsid w:val="00ED71A9"/>
    <w:rsid w:val="00ED75E3"/>
    <w:rsid w:val="00EE007D"/>
    <w:rsid w:val="00EE04A3"/>
    <w:rsid w:val="00EE0884"/>
    <w:rsid w:val="00EE0A89"/>
    <w:rsid w:val="00EE103F"/>
    <w:rsid w:val="00EE127E"/>
    <w:rsid w:val="00EE138D"/>
    <w:rsid w:val="00EE142C"/>
    <w:rsid w:val="00EE14FD"/>
    <w:rsid w:val="00EE1A2B"/>
    <w:rsid w:val="00EE1C2E"/>
    <w:rsid w:val="00EE2298"/>
    <w:rsid w:val="00EE2747"/>
    <w:rsid w:val="00EE28E0"/>
    <w:rsid w:val="00EE291E"/>
    <w:rsid w:val="00EE2A68"/>
    <w:rsid w:val="00EE2C5D"/>
    <w:rsid w:val="00EE3138"/>
    <w:rsid w:val="00EE3D74"/>
    <w:rsid w:val="00EE3E58"/>
    <w:rsid w:val="00EE4917"/>
    <w:rsid w:val="00EE4AD5"/>
    <w:rsid w:val="00EE4B1B"/>
    <w:rsid w:val="00EE5295"/>
    <w:rsid w:val="00EE52F2"/>
    <w:rsid w:val="00EE55FA"/>
    <w:rsid w:val="00EE56FD"/>
    <w:rsid w:val="00EE5732"/>
    <w:rsid w:val="00EE57EB"/>
    <w:rsid w:val="00EE5F75"/>
    <w:rsid w:val="00EE6B84"/>
    <w:rsid w:val="00EE7139"/>
    <w:rsid w:val="00EE72D3"/>
    <w:rsid w:val="00EE7571"/>
    <w:rsid w:val="00EF06D5"/>
    <w:rsid w:val="00EF08B3"/>
    <w:rsid w:val="00EF0E26"/>
    <w:rsid w:val="00EF0E93"/>
    <w:rsid w:val="00EF1645"/>
    <w:rsid w:val="00EF1870"/>
    <w:rsid w:val="00EF1C16"/>
    <w:rsid w:val="00EF20B8"/>
    <w:rsid w:val="00EF32EA"/>
    <w:rsid w:val="00EF4BBE"/>
    <w:rsid w:val="00EF4C94"/>
    <w:rsid w:val="00EF50F2"/>
    <w:rsid w:val="00EF51CF"/>
    <w:rsid w:val="00EF5297"/>
    <w:rsid w:val="00EF5B40"/>
    <w:rsid w:val="00EF5C44"/>
    <w:rsid w:val="00EF6A4B"/>
    <w:rsid w:val="00EF6E80"/>
    <w:rsid w:val="00EF741E"/>
    <w:rsid w:val="00EF7537"/>
    <w:rsid w:val="00EF7D00"/>
    <w:rsid w:val="00EF7E34"/>
    <w:rsid w:val="00F0061D"/>
    <w:rsid w:val="00F0098B"/>
    <w:rsid w:val="00F01031"/>
    <w:rsid w:val="00F02074"/>
    <w:rsid w:val="00F026FF"/>
    <w:rsid w:val="00F02969"/>
    <w:rsid w:val="00F02D02"/>
    <w:rsid w:val="00F03B11"/>
    <w:rsid w:val="00F04276"/>
    <w:rsid w:val="00F042CD"/>
    <w:rsid w:val="00F042DD"/>
    <w:rsid w:val="00F04C0B"/>
    <w:rsid w:val="00F05076"/>
    <w:rsid w:val="00F05363"/>
    <w:rsid w:val="00F05C06"/>
    <w:rsid w:val="00F05FF4"/>
    <w:rsid w:val="00F0625F"/>
    <w:rsid w:val="00F06E49"/>
    <w:rsid w:val="00F074FE"/>
    <w:rsid w:val="00F07554"/>
    <w:rsid w:val="00F1028D"/>
    <w:rsid w:val="00F10F4A"/>
    <w:rsid w:val="00F10FB6"/>
    <w:rsid w:val="00F1149E"/>
    <w:rsid w:val="00F11817"/>
    <w:rsid w:val="00F11873"/>
    <w:rsid w:val="00F11BAB"/>
    <w:rsid w:val="00F11D15"/>
    <w:rsid w:val="00F124FA"/>
    <w:rsid w:val="00F12672"/>
    <w:rsid w:val="00F12C4C"/>
    <w:rsid w:val="00F12CD3"/>
    <w:rsid w:val="00F12D82"/>
    <w:rsid w:val="00F130E8"/>
    <w:rsid w:val="00F13357"/>
    <w:rsid w:val="00F1343A"/>
    <w:rsid w:val="00F14459"/>
    <w:rsid w:val="00F14677"/>
    <w:rsid w:val="00F148F3"/>
    <w:rsid w:val="00F1495A"/>
    <w:rsid w:val="00F14A9B"/>
    <w:rsid w:val="00F14D0E"/>
    <w:rsid w:val="00F154DF"/>
    <w:rsid w:val="00F1620E"/>
    <w:rsid w:val="00F1688F"/>
    <w:rsid w:val="00F16B5C"/>
    <w:rsid w:val="00F16D90"/>
    <w:rsid w:val="00F16F1F"/>
    <w:rsid w:val="00F1706D"/>
    <w:rsid w:val="00F17B9C"/>
    <w:rsid w:val="00F2046E"/>
    <w:rsid w:val="00F20AFC"/>
    <w:rsid w:val="00F2103D"/>
    <w:rsid w:val="00F218EE"/>
    <w:rsid w:val="00F21D27"/>
    <w:rsid w:val="00F21D30"/>
    <w:rsid w:val="00F22B91"/>
    <w:rsid w:val="00F22DEC"/>
    <w:rsid w:val="00F22EA6"/>
    <w:rsid w:val="00F247F2"/>
    <w:rsid w:val="00F24A17"/>
    <w:rsid w:val="00F24A4D"/>
    <w:rsid w:val="00F24D37"/>
    <w:rsid w:val="00F24D9C"/>
    <w:rsid w:val="00F2540D"/>
    <w:rsid w:val="00F25848"/>
    <w:rsid w:val="00F259D0"/>
    <w:rsid w:val="00F25A17"/>
    <w:rsid w:val="00F25B08"/>
    <w:rsid w:val="00F25ED0"/>
    <w:rsid w:val="00F260F9"/>
    <w:rsid w:val="00F26416"/>
    <w:rsid w:val="00F2707B"/>
    <w:rsid w:val="00F274B0"/>
    <w:rsid w:val="00F27932"/>
    <w:rsid w:val="00F27C45"/>
    <w:rsid w:val="00F304C7"/>
    <w:rsid w:val="00F30743"/>
    <w:rsid w:val="00F30BE2"/>
    <w:rsid w:val="00F30F3A"/>
    <w:rsid w:val="00F311DC"/>
    <w:rsid w:val="00F319A6"/>
    <w:rsid w:val="00F31E17"/>
    <w:rsid w:val="00F31ECE"/>
    <w:rsid w:val="00F3210B"/>
    <w:rsid w:val="00F32548"/>
    <w:rsid w:val="00F32BE7"/>
    <w:rsid w:val="00F32DD7"/>
    <w:rsid w:val="00F32E3B"/>
    <w:rsid w:val="00F33ADD"/>
    <w:rsid w:val="00F33B7C"/>
    <w:rsid w:val="00F33BCA"/>
    <w:rsid w:val="00F33C5C"/>
    <w:rsid w:val="00F3592D"/>
    <w:rsid w:val="00F35B47"/>
    <w:rsid w:val="00F35CD0"/>
    <w:rsid w:val="00F36166"/>
    <w:rsid w:val="00F3680C"/>
    <w:rsid w:val="00F36F3F"/>
    <w:rsid w:val="00F37331"/>
    <w:rsid w:val="00F377DD"/>
    <w:rsid w:val="00F37871"/>
    <w:rsid w:val="00F37D8A"/>
    <w:rsid w:val="00F4037E"/>
    <w:rsid w:val="00F407B4"/>
    <w:rsid w:val="00F4090C"/>
    <w:rsid w:val="00F40D15"/>
    <w:rsid w:val="00F40D50"/>
    <w:rsid w:val="00F40F01"/>
    <w:rsid w:val="00F4113F"/>
    <w:rsid w:val="00F41824"/>
    <w:rsid w:val="00F41A0A"/>
    <w:rsid w:val="00F41FCE"/>
    <w:rsid w:val="00F422A4"/>
    <w:rsid w:val="00F4249D"/>
    <w:rsid w:val="00F42540"/>
    <w:rsid w:val="00F42E52"/>
    <w:rsid w:val="00F43D34"/>
    <w:rsid w:val="00F43F0C"/>
    <w:rsid w:val="00F4449C"/>
    <w:rsid w:val="00F4459C"/>
    <w:rsid w:val="00F4485C"/>
    <w:rsid w:val="00F44D45"/>
    <w:rsid w:val="00F4514B"/>
    <w:rsid w:val="00F458ED"/>
    <w:rsid w:val="00F46B16"/>
    <w:rsid w:val="00F46C54"/>
    <w:rsid w:val="00F46CA4"/>
    <w:rsid w:val="00F4714F"/>
    <w:rsid w:val="00F47AE6"/>
    <w:rsid w:val="00F47E05"/>
    <w:rsid w:val="00F501C6"/>
    <w:rsid w:val="00F50C41"/>
    <w:rsid w:val="00F50D6C"/>
    <w:rsid w:val="00F51C38"/>
    <w:rsid w:val="00F5203D"/>
    <w:rsid w:val="00F5221E"/>
    <w:rsid w:val="00F52B75"/>
    <w:rsid w:val="00F52FD6"/>
    <w:rsid w:val="00F53542"/>
    <w:rsid w:val="00F53BBC"/>
    <w:rsid w:val="00F54260"/>
    <w:rsid w:val="00F544B9"/>
    <w:rsid w:val="00F54F7C"/>
    <w:rsid w:val="00F54FF5"/>
    <w:rsid w:val="00F55A2D"/>
    <w:rsid w:val="00F55B04"/>
    <w:rsid w:val="00F55CF8"/>
    <w:rsid w:val="00F56903"/>
    <w:rsid w:val="00F56D55"/>
    <w:rsid w:val="00F56E99"/>
    <w:rsid w:val="00F57486"/>
    <w:rsid w:val="00F5748F"/>
    <w:rsid w:val="00F5763D"/>
    <w:rsid w:val="00F578DF"/>
    <w:rsid w:val="00F57A76"/>
    <w:rsid w:val="00F60652"/>
    <w:rsid w:val="00F60C2F"/>
    <w:rsid w:val="00F60E24"/>
    <w:rsid w:val="00F61EFA"/>
    <w:rsid w:val="00F625BB"/>
    <w:rsid w:val="00F633CD"/>
    <w:rsid w:val="00F633F2"/>
    <w:rsid w:val="00F63768"/>
    <w:rsid w:val="00F63BC4"/>
    <w:rsid w:val="00F64344"/>
    <w:rsid w:val="00F6441A"/>
    <w:rsid w:val="00F646A3"/>
    <w:rsid w:val="00F6545D"/>
    <w:rsid w:val="00F657F9"/>
    <w:rsid w:val="00F65C3B"/>
    <w:rsid w:val="00F65C91"/>
    <w:rsid w:val="00F66135"/>
    <w:rsid w:val="00F6641A"/>
    <w:rsid w:val="00F66647"/>
    <w:rsid w:val="00F666B2"/>
    <w:rsid w:val="00F66F4D"/>
    <w:rsid w:val="00F67454"/>
    <w:rsid w:val="00F675FE"/>
    <w:rsid w:val="00F6783E"/>
    <w:rsid w:val="00F67AD5"/>
    <w:rsid w:val="00F700D1"/>
    <w:rsid w:val="00F70460"/>
    <w:rsid w:val="00F70A51"/>
    <w:rsid w:val="00F70C18"/>
    <w:rsid w:val="00F70CBD"/>
    <w:rsid w:val="00F70DEB"/>
    <w:rsid w:val="00F7114B"/>
    <w:rsid w:val="00F713EA"/>
    <w:rsid w:val="00F719D2"/>
    <w:rsid w:val="00F71FA1"/>
    <w:rsid w:val="00F72211"/>
    <w:rsid w:val="00F7231A"/>
    <w:rsid w:val="00F726B1"/>
    <w:rsid w:val="00F7296A"/>
    <w:rsid w:val="00F73F52"/>
    <w:rsid w:val="00F7435F"/>
    <w:rsid w:val="00F751DB"/>
    <w:rsid w:val="00F76B92"/>
    <w:rsid w:val="00F76E9E"/>
    <w:rsid w:val="00F77066"/>
    <w:rsid w:val="00F77172"/>
    <w:rsid w:val="00F77900"/>
    <w:rsid w:val="00F779CA"/>
    <w:rsid w:val="00F8041B"/>
    <w:rsid w:val="00F8055B"/>
    <w:rsid w:val="00F8067E"/>
    <w:rsid w:val="00F80809"/>
    <w:rsid w:val="00F8094D"/>
    <w:rsid w:val="00F80A74"/>
    <w:rsid w:val="00F80C35"/>
    <w:rsid w:val="00F80F8E"/>
    <w:rsid w:val="00F824EE"/>
    <w:rsid w:val="00F82A51"/>
    <w:rsid w:val="00F82AE6"/>
    <w:rsid w:val="00F82CAE"/>
    <w:rsid w:val="00F82DF6"/>
    <w:rsid w:val="00F83583"/>
    <w:rsid w:val="00F83ACF"/>
    <w:rsid w:val="00F83BE9"/>
    <w:rsid w:val="00F83DF6"/>
    <w:rsid w:val="00F8454A"/>
    <w:rsid w:val="00F8473B"/>
    <w:rsid w:val="00F847C3"/>
    <w:rsid w:val="00F848CB"/>
    <w:rsid w:val="00F84A52"/>
    <w:rsid w:val="00F84A6A"/>
    <w:rsid w:val="00F8599E"/>
    <w:rsid w:val="00F859F4"/>
    <w:rsid w:val="00F8636C"/>
    <w:rsid w:val="00F86381"/>
    <w:rsid w:val="00F86666"/>
    <w:rsid w:val="00F8677C"/>
    <w:rsid w:val="00F86AFF"/>
    <w:rsid w:val="00F86C7C"/>
    <w:rsid w:val="00F86D1F"/>
    <w:rsid w:val="00F87543"/>
    <w:rsid w:val="00F87675"/>
    <w:rsid w:val="00F877BA"/>
    <w:rsid w:val="00F8787D"/>
    <w:rsid w:val="00F87A3A"/>
    <w:rsid w:val="00F90550"/>
    <w:rsid w:val="00F90664"/>
    <w:rsid w:val="00F9098E"/>
    <w:rsid w:val="00F91208"/>
    <w:rsid w:val="00F92282"/>
    <w:rsid w:val="00F9228A"/>
    <w:rsid w:val="00F9245B"/>
    <w:rsid w:val="00F92E10"/>
    <w:rsid w:val="00F92F98"/>
    <w:rsid w:val="00F93332"/>
    <w:rsid w:val="00F93669"/>
    <w:rsid w:val="00F93DBC"/>
    <w:rsid w:val="00F94605"/>
    <w:rsid w:val="00F94D7C"/>
    <w:rsid w:val="00F94E93"/>
    <w:rsid w:val="00F95A2B"/>
    <w:rsid w:val="00F95B8A"/>
    <w:rsid w:val="00F9659F"/>
    <w:rsid w:val="00F96885"/>
    <w:rsid w:val="00F968EA"/>
    <w:rsid w:val="00F96DFD"/>
    <w:rsid w:val="00F975F3"/>
    <w:rsid w:val="00F97C6F"/>
    <w:rsid w:val="00FA09D7"/>
    <w:rsid w:val="00FA2452"/>
    <w:rsid w:val="00FA27BA"/>
    <w:rsid w:val="00FA32FE"/>
    <w:rsid w:val="00FA3641"/>
    <w:rsid w:val="00FA43BC"/>
    <w:rsid w:val="00FA45A7"/>
    <w:rsid w:val="00FA5B12"/>
    <w:rsid w:val="00FA5D3E"/>
    <w:rsid w:val="00FA5E7C"/>
    <w:rsid w:val="00FA68D1"/>
    <w:rsid w:val="00FA6C83"/>
    <w:rsid w:val="00FA717B"/>
    <w:rsid w:val="00FA72C4"/>
    <w:rsid w:val="00FA77BF"/>
    <w:rsid w:val="00FA7A20"/>
    <w:rsid w:val="00FA7E74"/>
    <w:rsid w:val="00FB0265"/>
    <w:rsid w:val="00FB0B88"/>
    <w:rsid w:val="00FB0E1C"/>
    <w:rsid w:val="00FB10D4"/>
    <w:rsid w:val="00FB1771"/>
    <w:rsid w:val="00FB1CAD"/>
    <w:rsid w:val="00FB1E9A"/>
    <w:rsid w:val="00FB2859"/>
    <w:rsid w:val="00FB2D61"/>
    <w:rsid w:val="00FB34E5"/>
    <w:rsid w:val="00FB47DE"/>
    <w:rsid w:val="00FB4CE6"/>
    <w:rsid w:val="00FB5BC1"/>
    <w:rsid w:val="00FB60A6"/>
    <w:rsid w:val="00FB6633"/>
    <w:rsid w:val="00FB6B52"/>
    <w:rsid w:val="00FC0337"/>
    <w:rsid w:val="00FC0D2F"/>
    <w:rsid w:val="00FC0EBE"/>
    <w:rsid w:val="00FC1752"/>
    <w:rsid w:val="00FC17DD"/>
    <w:rsid w:val="00FC1827"/>
    <w:rsid w:val="00FC1CFF"/>
    <w:rsid w:val="00FC290F"/>
    <w:rsid w:val="00FC2AF7"/>
    <w:rsid w:val="00FC2B49"/>
    <w:rsid w:val="00FC3500"/>
    <w:rsid w:val="00FC3530"/>
    <w:rsid w:val="00FC36B2"/>
    <w:rsid w:val="00FC371E"/>
    <w:rsid w:val="00FC3D14"/>
    <w:rsid w:val="00FC3D18"/>
    <w:rsid w:val="00FC44E5"/>
    <w:rsid w:val="00FC44F4"/>
    <w:rsid w:val="00FC4AF3"/>
    <w:rsid w:val="00FC4D9C"/>
    <w:rsid w:val="00FC5229"/>
    <w:rsid w:val="00FC5397"/>
    <w:rsid w:val="00FC58AB"/>
    <w:rsid w:val="00FC61D8"/>
    <w:rsid w:val="00FC68BF"/>
    <w:rsid w:val="00FC7E13"/>
    <w:rsid w:val="00FD0979"/>
    <w:rsid w:val="00FD0B6D"/>
    <w:rsid w:val="00FD0D3B"/>
    <w:rsid w:val="00FD1D18"/>
    <w:rsid w:val="00FD239E"/>
    <w:rsid w:val="00FD2B91"/>
    <w:rsid w:val="00FD2FED"/>
    <w:rsid w:val="00FD311D"/>
    <w:rsid w:val="00FD3F76"/>
    <w:rsid w:val="00FD4478"/>
    <w:rsid w:val="00FD4894"/>
    <w:rsid w:val="00FD4AA0"/>
    <w:rsid w:val="00FD4F1B"/>
    <w:rsid w:val="00FD5116"/>
    <w:rsid w:val="00FD541B"/>
    <w:rsid w:val="00FD5652"/>
    <w:rsid w:val="00FD56E6"/>
    <w:rsid w:val="00FD59F2"/>
    <w:rsid w:val="00FD65D9"/>
    <w:rsid w:val="00FD66F7"/>
    <w:rsid w:val="00FD682F"/>
    <w:rsid w:val="00FD6C5C"/>
    <w:rsid w:val="00FD716C"/>
    <w:rsid w:val="00FD73EF"/>
    <w:rsid w:val="00FD75CC"/>
    <w:rsid w:val="00FE0425"/>
    <w:rsid w:val="00FE145A"/>
    <w:rsid w:val="00FE176A"/>
    <w:rsid w:val="00FE1C41"/>
    <w:rsid w:val="00FE1EEA"/>
    <w:rsid w:val="00FE2237"/>
    <w:rsid w:val="00FE2418"/>
    <w:rsid w:val="00FE2429"/>
    <w:rsid w:val="00FE2A59"/>
    <w:rsid w:val="00FE2EA8"/>
    <w:rsid w:val="00FE32D7"/>
    <w:rsid w:val="00FE3721"/>
    <w:rsid w:val="00FE37FA"/>
    <w:rsid w:val="00FE4473"/>
    <w:rsid w:val="00FE46E3"/>
    <w:rsid w:val="00FE4AA1"/>
    <w:rsid w:val="00FE528C"/>
    <w:rsid w:val="00FE5550"/>
    <w:rsid w:val="00FE57F5"/>
    <w:rsid w:val="00FE599E"/>
    <w:rsid w:val="00FE7570"/>
    <w:rsid w:val="00FF00BB"/>
    <w:rsid w:val="00FF17BF"/>
    <w:rsid w:val="00FF193A"/>
    <w:rsid w:val="00FF1F1E"/>
    <w:rsid w:val="00FF22FB"/>
    <w:rsid w:val="00FF28BF"/>
    <w:rsid w:val="00FF2A0B"/>
    <w:rsid w:val="00FF2D24"/>
    <w:rsid w:val="00FF2EB2"/>
    <w:rsid w:val="00FF36FC"/>
    <w:rsid w:val="00FF3A63"/>
    <w:rsid w:val="00FF547C"/>
    <w:rsid w:val="00FF665C"/>
    <w:rsid w:val="00FF6B73"/>
    <w:rsid w:val="00FF6C37"/>
    <w:rsid w:val="00FF6D40"/>
    <w:rsid w:val="00FF77D4"/>
    <w:rsid w:val="00FF7EF8"/>
    <w:rsid w:val="01063038"/>
    <w:rsid w:val="01136C6D"/>
    <w:rsid w:val="01396E1E"/>
    <w:rsid w:val="01401846"/>
    <w:rsid w:val="014B4CE4"/>
    <w:rsid w:val="017C17DC"/>
    <w:rsid w:val="017C6D0A"/>
    <w:rsid w:val="017E5F74"/>
    <w:rsid w:val="01927600"/>
    <w:rsid w:val="019471C1"/>
    <w:rsid w:val="019D5393"/>
    <w:rsid w:val="01DA3AEE"/>
    <w:rsid w:val="01F477D7"/>
    <w:rsid w:val="025C61BD"/>
    <w:rsid w:val="026F5082"/>
    <w:rsid w:val="02783976"/>
    <w:rsid w:val="02843265"/>
    <w:rsid w:val="02B17B0C"/>
    <w:rsid w:val="02D32C98"/>
    <w:rsid w:val="02F050A0"/>
    <w:rsid w:val="031C2553"/>
    <w:rsid w:val="03352F95"/>
    <w:rsid w:val="034E5101"/>
    <w:rsid w:val="037454C9"/>
    <w:rsid w:val="038A48C4"/>
    <w:rsid w:val="039D434D"/>
    <w:rsid w:val="03AC2819"/>
    <w:rsid w:val="03BC634D"/>
    <w:rsid w:val="03BE5F89"/>
    <w:rsid w:val="03C93A84"/>
    <w:rsid w:val="040B7F1C"/>
    <w:rsid w:val="0449371C"/>
    <w:rsid w:val="044A0302"/>
    <w:rsid w:val="047F35E3"/>
    <w:rsid w:val="04876C62"/>
    <w:rsid w:val="04887003"/>
    <w:rsid w:val="048E68BC"/>
    <w:rsid w:val="049049AA"/>
    <w:rsid w:val="04974587"/>
    <w:rsid w:val="04B24C31"/>
    <w:rsid w:val="04E13428"/>
    <w:rsid w:val="04E15062"/>
    <w:rsid w:val="04E969F8"/>
    <w:rsid w:val="050B31A9"/>
    <w:rsid w:val="052D5413"/>
    <w:rsid w:val="052F09B8"/>
    <w:rsid w:val="05327772"/>
    <w:rsid w:val="05367C2D"/>
    <w:rsid w:val="0541619A"/>
    <w:rsid w:val="055C37F7"/>
    <w:rsid w:val="056621AB"/>
    <w:rsid w:val="057A1AE8"/>
    <w:rsid w:val="059967DB"/>
    <w:rsid w:val="05C869C2"/>
    <w:rsid w:val="05CC1A0A"/>
    <w:rsid w:val="05D10390"/>
    <w:rsid w:val="05E247B5"/>
    <w:rsid w:val="06070DEB"/>
    <w:rsid w:val="061E4834"/>
    <w:rsid w:val="064047AA"/>
    <w:rsid w:val="06710E08"/>
    <w:rsid w:val="06752CEB"/>
    <w:rsid w:val="06B243DC"/>
    <w:rsid w:val="06B9162D"/>
    <w:rsid w:val="06BC58E5"/>
    <w:rsid w:val="06C278B5"/>
    <w:rsid w:val="06EF1F55"/>
    <w:rsid w:val="07216796"/>
    <w:rsid w:val="07350087"/>
    <w:rsid w:val="073B3482"/>
    <w:rsid w:val="074D33F4"/>
    <w:rsid w:val="07577FFE"/>
    <w:rsid w:val="07A55D55"/>
    <w:rsid w:val="07A64AE1"/>
    <w:rsid w:val="07B57059"/>
    <w:rsid w:val="07C527CA"/>
    <w:rsid w:val="07C70B7E"/>
    <w:rsid w:val="07DC424A"/>
    <w:rsid w:val="07EA6A0B"/>
    <w:rsid w:val="07F01F7D"/>
    <w:rsid w:val="07FB1491"/>
    <w:rsid w:val="08282C50"/>
    <w:rsid w:val="083467DA"/>
    <w:rsid w:val="084F1F89"/>
    <w:rsid w:val="086D7426"/>
    <w:rsid w:val="089322D6"/>
    <w:rsid w:val="08C6543B"/>
    <w:rsid w:val="08F5187C"/>
    <w:rsid w:val="0923633E"/>
    <w:rsid w:val="092B7994"/>
    <w:rsid w:val="09564701"/>
    <w:rsid w:val="09AB2E6D"/>
    <w:rsid w:val="09C37825"/>
    <w:rsid w:val="09CA163A"/>
    <w:rsid w:val="09CF031F"/>
    <w:rsid w:val="0A062C3B"/>
    <w:rsid w:val="0A394B12"/>
    <w:rsid w:val="0A3E2081"/>
    <w:rsid w:val="0A8E0A71"/>
    <w:rsid w:val="0A9E542A"/>
    <w:rsid w:val="0AB91F01"/>
    <w:rsid w:val="0AD35BED"/>
    <w:rsid w:val="0ADF118A"/>
    <w:rsid w:val="0B04095B"/>
    <w:rsid w:val="0B0C69BB"/>
    <w:rsid w:val="0B3D34E2"/>
    <w:rsid w:val="0B4E3C0A"/>
    <w:rsid w:val="0B6A1335"/>
    <w:rsid w:val="0B8E54F7"/>
    <w:rsid w:val="0B950454"/>
    <w:rsid w:val="0B9C1C5F"/>
    <w:rsid w:val="0BC20491"/>
    <w:rsid w:val="0C012C2E"/>
    <w:rsid w:val="0C10248D"/>
    <w:rsid w:val="0C130DCA"/>
    <w:rsid w:val="0C1748CB"/>
    <w:rsid w:val="0C2B1755"/>
    <w:rsid w:val="0C3F33AA"/>
    <w:rsid w:val="0C4B3BFD"/>
    <w:rsid w:val="0C51382F"/>
    <w:rsid w:val="0C6C2A96"/>
    <w:rsid w:val="0C6D0406"/>
    <w:rsid w:val="0C802F4F"/>
    <w:rsid w:val="0C9A091F"/>
    <w:rsid w:val="0C9D1EED"/>
    <w:rsid w:val="0CB33F28"/>
    <w:rsid w:val="0CC45137"/>
    <w:rsid w:val="0D29667F"/>
    <w:rsid w:val="0D2D58FB"/>
    <w:rsid w:val="0D3A0CF0"/>
    <w:rsid w:val="0D3B48BC"/>
    <w:rsid w:val="0D527D09"/>
    <w:rsid w:val="0D6860FF"/>
    <w:rsid w:val="0D951958"/>
    <w:rsid w:val="0DCC2CE2"/>
    <w:rsid w:val="0DCC4DDF"/>
    <w:rsid w:val="0DEB4037"/>
    <w:rsid w:val="0E2037D2"/>
    <w:rsid w:val="0E3E1F17"/>
    <w:rsid w:val="0E572AD9"/>
    <w:rsid w:val="0E5F0B0E"/>
    <w:rsid w:val="0E872F63"/>
    <w:rsid w:val="0EA9049C"/>
    <w:rsid w:val="0F0A671C"/>
    <w:rsid w:val="0F246874"/>
    <w:rsid w:val="0F397214"/>
    <w:rsid w:val="0F4A2BF1"/>
    <w:rsid w:val="0F5F785D"/>
    <w:rsid w:val="0FA7589A"/>
    <w:rsid w:val="0FB028F4"/>
    <w:rsid w:val="0FBB211F"/>
    <w:rsid w:val="10255737"/>
    <w:rsid w:val="102C45EE"/>
    <w:rsid w:val="104C6C51"/>
    <w:rsid w:val="104E1CA7"/>
    <w:rsid w:val="10754F42"/>
    <w:rsid w:val="10812B4E"/>
    <w:rsid w:val="108509BB"/>
    <w:rsid w:val="10CE2715"/>
    <w:rsid w:val="10F66827"/>
    <w:rsid w:val="11070D34"/>
    <w:rsid w:val="11156B59"/>
    <w:rsid w:val="111B55CA"/>
    <w:rsid w:val="11213F5C"/>
    <w:rsid w:val="1131018A"/>
    <w:rsid w:val="11694CC5"/>
    <w:rsid w:val="1182211B"/>
    <w:rsid w:val="11D010D8"/>
    <w:rsid w:val="11E255F9"/>
    <w:rsid w:val="11E624FA"/>
    <w:rsid w:val="121C0D71"/>
    <w:rsid w:val="12485112"/>
    <w:rsid w:val="125B2D22"/>
    <w:rsid w:val="1262116E"/>
    <w:rsid w:val="126A77BC"/>
    <w:rsid w:val="12824ADD"/>
    <w:rsid w:val="1284411F"/>
    <w:rsid w:val="12A0709F"/>
    <w:rsid w:val="13076B59"/>
    <w:rsid w:val="132F29AD"/>
    <w:rsid w:val="1331204B"/>
    <w:rsid w:val="134A7D3F"/>
    <w:rsid w:val="134B7BE9"/>
    <w:rsid w:val="136E381D"/>
    <w:rsid w:val="136F78CC"/>
    <w:rsid w:val="13AC46F3"/>
    <w:rsid w:val="13D015A2"/>
    <w:rsid w:val="13D422D4"/>
    <w:rsid w:val="13D824C6"/>
    <w:rsid w:val="13E35292"/>
    <w:rsid w:val="143308E5"/>
    <w:rsid w:val="145C422A"/>
    <w:rsid w:val="146D6816"/>
    <w:rsid w:val="14786215"/>
    <w:rsid w:val="147C5547"/>
    <w:rsid w:val="14B304B2"/>
    <w:rsid w:val="14C17128"/>
    <w:rsid w:val="14D7452C"/>
    <w:rsid w:val="14E247B3"/>
    <w:rsid w:val="1508028E"/>
    <w:rsid w:val="15274088"/>
    <w:rsid w:val="152C2AC9"/>
    <w:rsid w:val="153C7AB5"/>
    <w:rsid w:val="153E6026"/>
    <w:rsid w:val="156813EF"/>
    <w:rsid w:val="158E0267"/>
    <w:rsid w:val="15A532B7"/>
    <w:rsid w:val="15B12FCF"/>
    <w:rsid w:val="15D3371D"/>
    <w:rsid w:val="15F95003"/>
    <w:rsid w:val="165014C8"/>
    <w:rsid w:val="165276D8"/>
    <w:rsid w:val="166B30F5"/>
    <w:rsid w:val="16BF6521"/>
    <w:rsid w:val="16C71469"/>
    <w:rsid w:val="16E001E5"/>
    <w:rsid w:val="16E73DA3"/>
    <w:rsid w:val="171735A3"/>
    <w:rsid w:val="171A047F"/>
    <w:rsid w:val="171A308A"/>
    <w:rsid w:val="17392B29"/>
    <w:rsid w:val="176C7DE5"/>
    <w:rsid w:val="17806FFA"/>
    <w:rsid w:val="17A57C09"/>
    <w:rsid w:val="17B5696E"/>
    <w:rsid w:val="17D16259"/>
    <w:rsid w:val="17D4386A"/>
    <w:rsid w:val="18091E39"/>
    <w:rsid w:val="180969AE"/>
    <w:rsid w:val="18442ACF"/>
    <w:rsid w:val="18482C69"/>
    <w:rsid w:val="18550A10"/>
    <w:rsid w:val="18572C26"/>
    <w:rsid w:val="18A12E86"/>
    <w:rsid w:val="18A67014"/>
    <w:rsid w:val="18D53478"/>
    <w:rsid w:val="18DA2A4D"/>
    <w:rsid w:val="18F646AD"/>
    <w:rsid w:val="191F1123"/>
    <w:rsid w:val="19386FF0"/>
    <w:rsid w:val="194B7296"/>
    <w:rsid w:val="19524AC9"/>
    <w:rsid w:val="19A85985"/>
    <w:rsid w:val="19B0478E"/>
    <w:rsid w:val="19C13A0A"/>
    <w:rsid w:val="1A2B43DE"/>
    <w:rsid w:val="1A483E9D"/>
    <w:rsid w:val="1A7519F7"/>
    <w:rsid w:val="1A8957EA"/>
    <w:rsid w:val="1A9C29B5"/>
    <w:rsid w:val="1AE4072D"/>
    <w:rsid w:val="1AE80E82"/>
    <w:rsid w:val="1B1D2BED"/>
    <w:rsid w:val="1B34527D"/>
    <w:rsid w:val="1B3A1115"/>
    <w:rsid w:val="1B6A434C"/>
    <w:rsid w:val="1B731E88"/>
    <w:rsid w:val="1B8B4CEB"/>
    <w:rsid w:val="1BB55A27"/>
    <w:rsid w:val="1BB750B7"/>
    <w:rsid w:val="1BE07239"/>
    <w:rsid w:val="1BEB0C75"/>
    <w:rsid w:val="1C710564"/>
    <w:rsid w:val="1C870DF4"/>
    <w:rsid w:val="1CB33AD0"/>
    <w:rsid w:val="1CB462C1"/>
    <w:rsid w:val="1CB750E0"/>
    <w:rsid w:val="1CC64075"/>
    <w:rsid w:val="1CCB4AFC"/>
    <w:rsid w:val="1CDF48C5"/>
    <w:rsid w:val="1CE23DA8"/>
    <w:rsid w:val="1CE433CC"/>
    <w:rsid w:val="1CF9545E"/>
    <w:rsid w:val="1D020BB5"/>
    <w:rsid w:val="1D276497"/>
    <w:rsid w:val="1D3C1C2B"/>
    <w:rsid w:val="1D443099"/>
    <w:rsid w:val="1D4C4104"/>
    <w:rsid w:val="1D757EF6"/>
    <w:rsid w:val="1D8B5B16"/>
    <w:rsid w:val="1D915375"/>
    <w:rsid w:val="1DB418AE"/>
    <w:rsid w:val="1DB775F0"/>
    <w:rsid w:val="1DBC2360"/>
    <w:rsid w:val="1DBD1E90"/>
    <w:rsid w:val="1DC0796D"/>
    <w:rsid w:val="1DE127ED"/>
    <w:rsid w:val="1DF32B81"/>
    <w:rsid w:val="1E184529"/>
    <w:rsid w:val="1E2412CE"/>
    <w:rsid w:val="1E551DC9"/>
    <w:rsid w:val="1E950F96"/>
    <w:rsid w:val="1ED14498"/>
    <w:rsid w:val="1ED32208"/>
    <w:rsid w:val="1EEC32CA"/>
    <w:rsid w:val="1EFF4DAB"/>
    <w:rsid w:val="1F07360D"/>
    <w:rsid w:val="1F0949C5"/>
    <w:rsid w:val="1F0B19A2"/>
    <w:rsid w:val="1F1C595D"/>
    <w:rsid w:val="1F506376"/>
    <w:rsid w:val="1F777037"/>
    <w:rsid w:val="1F8011E1"/>
    <w:rsid w:val="1F8B14AA"/>
    <w:rsid w:val="1FB6147F"/>
    <w:rsid w:val="1FCC072E"/>
    <w:rsid w:val="1FE214CF"/>
    <w:rsid w:val="1FE968C0"/>
    <w:rsid w:val="1FFE63A0"/>
    <w:rsid w:val="2075339F"/>
    <w:rsid w:val="209436FE"/>
    <w:rsid w:val="20AF0CAD"/>
    <w:rsid w:val="20C70631"/>
    <w:rsid w:val="20E73D48"/>
    <w:rsid w:val="20FA1CCE"/>
    <w:rsid w:val="20FE7CCE"/>
    <w:rsid w:val="210F147E"/>
    <w:rsid w:val="21132C4F"/>
    <w:rsid w:val="211663DC"/>
    <w:rsid w:val="216554C4"/>
    <w:rsid w:val="2173382E"/>
    <w:rsid w:val="21C603EE"/>
    <w:rsid w:val="21D97A24"/>
    <w:rsid w:val="21FF3E73"/>
    <w:rsid w:val="2273709F"/>
    <w:rsid w:val="228D7642"/>
    <w:rsid w:val="22934188"/>
    <w:rsid w:val="22A76CB6"/>
    <w:rsid w:val="22C4176B"/>
    <w:rsid w:val="22E5394B"/>
    <w:rsid w:val="22FB0059"/>
    <w:rsid w:val="230E1B9C"/>
    <w:rsid w:val="230F463E"/>
    <w:rsid w:val="233471BB"/>
    <w:rsid w:val="235C0A1E"/>
    <w:rsid w:val="23616034"/>
    <w:rsid w:val="238C653F"/>
    <w:rsid w:val="23B72AC9"/>
    <w:rsid w:val="23F058F5"/>
    <w:rsid w:val="241A4435"/>
    <w:rsid w:val="243272D3"/>
    <w:rsid w:val="248660ED"/>
    <w:rsid w:val="249441E7"/>
    <w:rsid w:val="250B1DA7"/>
    <w:rsid w:val="253908EB"/>
    <w:rsid w:val="25423C43"/>
    <w:rsid w:val="254F23F1"/>
    <w:rsid w:val="258E0C37"/>
    <w:rsid w:val="259154A4"/>
    <w:rsid w:val="259B3353"/>
    <w:rsid w:val="25CD1E2E"/>
    <w:rsid w:val="26101FFB"/>
    <w:rsid w:val="2632752B"/>
    <w:rsid w:val="26364FF7"/>
    <w:rsid w:val="267C4F33"/>
    <w:rsid w:val="268B27B7"/>
    <w:rsid w:val="26A12BEB"/>
    <w:rsid w:val="26BB1CAD"/>
    <w:rsid w:val="26CB1A16"/>
    <w:rsid w:val="27017BA3"/>
    <w:rsid w:val="27017D9F"/>
    <w:rsid w:val="27044DB2"/>
    <w:rsid w:val="271C3E12"/>
    <w:rsid w:val="27351CB2"/>
    <w:rsid w:val="27391076"/>
    <w:rsid w:val="27526C4A"/>
    <w:rsid w:val="277F4CDB"/>
    <w:rsid w:val="278A7D9B"/>
    <w:rsid w:val="278D1738"/>
    <w:rsid w:val="27965F0D"/>
    <w:rsid w:val="27A86F3F"/>
    <w:rsid w:val="27B11950"/>
    <w:rsid w:val="27D063DE"/>
    <w:rsid w:val="280C3371"/>
    <w:rsid w:val="28345975"/>
    <w:rsid w:val="285D1C27"/>
    <w:rsid w:val="286B2491"/>
    <w:rsid w:val="289B3D96"/>
    <w:rsid w:val="289B6538"/>
    <w:rsid w:val="28AF339E"/>
    <w:rsid w:val="28FC224A"/>
    <w:rsid w:val="29002F8F"/>
    <w:rsid w:val="290A0F1C"/>
    <w:rsid w:val="292506E6"/>
    <w:rsid w:val="293F10A9"/>
    <w:rsid w:val="29620E3C"/>
    <w:rsid w:val="296C1376"/>
    <w:rsid w:val="297B67C3"/>
    <w:rsid w:val="29A9603F"/>
    <w:rsid w:val="29C55126"/>
    <w:rsid w:val="29D64FAB"/>
    <w:rsid w:val="29FA689B"/>
    <w:rsid w:val="2A1A098F"/>
    <w:rsid w:val="2A391AB9"/>
    <w:rsid w:val="2A4042D8"/>
    <w:rsid w:val="2A94362E"/>
    <w:rsid w:val="2AC70AF5"/>
    <w:rsid w:val="2AD950E0"/>
    <w:rsid w:val="2AE17A5A"/>
    <w:rsid w:val="2AEF5FDE"/>
    <w:rsid w:val="2AF74503"/>
    <w:rsid w:val="2AFD2A6B"/>
    <w:rsid w:val="2B22325F"/>
    <w:rsid w:val="2B4A15F9"/>
    <w:rsid w:val="2B4D6793"/>
    <w:rsid w:val="2B626910"/>
    <w:rsid w:val="2B770F44"/>
    <w:rsid w:val="2B794137"/>
    <w:rsid w:val="2B7B1C5D"/>
    <w:rsid w:val="2B985FCE"/>
    <w:rsid w:val="2BC90C1A"/>
    <w:rsid w:val="2BD01A9C"/>
    <w:rsid w:val="2C0C310F"/>
    <w:rsid w:val="2C123167"/>
    <w:rsid w:val="2C2350EF"/>
    <w:rsid w:val="2C2C5168"/>
    <w:rsid w:val="2C307416"/>
    <w:rsid w:val="2CC43190"/>
    <w:rsid w:val="2CCF3C37"/>
    <w:rsid w:val="2CF9372C"/>
    <w:rsid w:val="2D031F0A"/>
    <w:rsid w:val="2D2646FE"/>
    <w:rsid w:val="2D393B7E"/>
    <w:rsid w:val="2D3F1D00"/>
    <w:rsid w:val="2D5A0264"/>
    <w:rsid w:val="2DA136BD"/>
    <w:rsid w:val="2E07322B"/>
    <w:rsid w:val="2E1600CA"/>
    <w:rsid w:val="2E2D6F18"/>
    <w:rsid w:val="2E330841"/>
    <w:rsid w:val="2E33680B"/>
    <w:rsid w:val="2E742ED5"/>
    <w:rsid w:val="2E756E38"/>
    <w:rsid w:val="2E904FE0"/>
    <w:rsid w:val="2EA81859"/>
    <w:rsid w:val="2EBC4A66"/>
    <w:rsid w:val="2ECF5B72"/>
    <w:rsid w:val="2EE63891"/>
    <w:rsid w:val="2EED4D73"/>
    <w:rsid w:val="2EFE33FF"/>
    <w:rsid w:val="2F3445FD"/>
    <w:rsid w:val="2F587C89"/>
    <w:rsid w:val="2F6A001E"/>
    <w:rsid w:val="2F880DEC"/>
    <w:rsid w:val="2F902F9E"/>
    <w:rsid w:val="2F997048"/>
    <w:rsid w:val="2FBA3392"/>
    <w:rsid w:val="2FCF4325"/>
    <w:rsid w:val="3023373B"/>
    <w:rsid w:val="302A6F11"/>
    <w:rsid w:val="30442335"/>
    <w:rsid w:val="30445008"/>
    <w:rsid w:val="30705B08"/>
    <w:rsid w:val="30CC4AC8"/>
    <w:rsid w:val="30E22CDA"/>
    <w:rsid w:val="30F03A7B"/>
    <w:rsid w:val="30FB7D0C"/>
    <w:rsid w:val="312B4FE7"/>
    <w:rsid w:val="31570A76"/>
    <w:rsid w:val="318E1B60"/>
    <w:rsid w:val="31EB7793"/>
    <w:rsid w:val="320B040B"/>
    <w:rsid w:val="32366E89"/>
    <w:rsid w:val="324A2389"/>
    <w:rsid w:val="325E10CC"/>
    <w:rsid w:val="32642633"/>
    <w:rsid w:val="326A6587"/>
    <w:rsid w:val="327F1618"/>
    <w:rsid w:val="32B56802"/>
    <w:rsid w:val="32C8687F"/>
    <w:rsid w:val="33064502"/>
    <w:rsid w:val="333762E9"/>
    <w:rsid w:val="333A7F4C"/>
    <w:rsid w:val="336A16B5"/>
    <w:rsid w:val="336E72DC"/>
    <w:rsid w:val="33792F26"/>
    <w:rsid w:val="33C071A7"/>
    <w:rsid w:val="33C60D78"/>
    <w:rsid w:val="33E705FA"/>
    <w:rsid w:val="33EE6027"/>
    <w:rsid w:val="3415376D"/>
    <w:rsid w:val="34311DA2"/>
    <w:rsid w:val="343F1A8A"/>
    <w:rsid w:val="346D4BEC"/>
    <w:rsid w:val="347A4FC0"/>
    <w:rsid w:val="34D86D0D"/>
    <w:rsid w:val="34E645EB"/>
    <w:rsid w:val="34FF0F8F"/>
    <w:rsid w:val="35174EEB"/>
    <w:rsid w:val="35325A82"/>
    <w:rsid w:val="354B7C37"/>
    <w:rsid w:val="354C5F65"/>
    <w:rsid w:val="356A4E92"/>
    <w:rsid w:val="35FC48CB"/>
    <w:rsid w:val="35FD2848"/>
    <w:rsid w:val="363A2EB3"/>
    <w:rsid w:val="3656754F"/>
    <w:rsid w:val="366F15CE"/>
    <w:rsid w:val="36943F62"/>
    <w:rsid w:val="36943F71"/>
    <w:rsid w:val="36A31EF8"/>
    <w:rsid w:val="36A767EC"/>
    <w:rsid w:val="36D6243D"/>
    <w:rsid w:val="36DB3546"/>
    <w:rsid w:val="36EE7B6E"/>
    <w:rsid w:val="36FC72C0"/>
    <w:rsid w:val="370A0339"/>
    <w:rsid w:val="3714674C"/>
    <w:rsid w:val="37185D64"/>
    <w:rsid w:val="372907BF"/>
    <w:rsid w:val="372C4C9A"/>
    <w:rsid w:val="372F7FE4"/>
    <w:rsid w:val="373F4589"/>
    <w:rsid w:val="375A0B7F"/>
    <w:rsid w:val="376D5C1A"/>
    <w:rsid w:val="378E2D18"/>
    <w:rsid w:val="37B5205E"/>
    <w:rsid w:val="37F76B0F"/>
    <w:rsid w:val="38010506"/>
    <w:rsid w:val="383270B5"/>
    <w:rsid w:val="383E2EE0"/>
    <w:rsid w:val="38603B6D"/>
    <w:rsid w:val="386F3902"/>
    <w:rsid w:val="387367EB"/>
    <w:rsid w:val="387F7C2E"/>
    <w:rsid w:val="38B70B26"/>
    <w:rsid w:val="38C369F1"/>
    <w:rsid w:val="38FD0155"/>
    <w:rsid w:val="39004451"/>
    <w:rsid w:val="390A2872"/>
    <w:rsid w:val="39256203"/>
    <w:rsid w:val="39365837"/>
    <w:rsid w:val="394744BB"/>
    <w:rsid w:val="39565A6C"/>
    <w:rsid w:val="39634D86"/>
    <w:rsid w:val="398A74B1"/>
    <w:rsid w:val="39BC1DBE"/>
    <w:rsid w:val="39C56CED"/>
    <w:rsid w:val="39D22C91"/>
    <w:rsid w:val="39E6202B"/>
    <w:rsid w:val="3A00614F"/>
    <w:rsid w:val="3A051D39"/>
    <w:rsid w:val="3A0D641E"/>
    <w:rsid w:val="3A462921"/>
    <w:rsid w:val="3A5B6852"/>
    <w:rsid w:val="3AA5626A"/>
    <w:rsid w:val="3B11102B"/>
    <w:rsid w:val="3B1459DF"/>
    <w:rsid w:val="3B2D1AF4"/>
    <w:rsid w:val="3B4E2EEA"/>
    <w:rsid w:val="3B7A1FA2"/>
    <w:rsid w:val="3B7A3481"/>
    <w:rsid w:val="3B847376"/>
    <w:rsid w:val="3B8763FC"/>
    <w:rsid w:val="3B91005A"/>
    <w:rsid w:val="3B9E599D"/>
    <w:rsid w:val="3BA96B9F"/>
    <w:rsid w:val="3BB30A96"/>
    <w:rsid w:val="3BB448FC"/>
    <w:rsid w:val="3BD47BAC"/>
    <w:rsid w:val="3BEF39AA"/>
    <w:rsid w:val="3BF526DA"/>
    <w:rsid w:val="3C010052"/>
    <w:rsid w:val="3C3266B0"/>
    <w:rsid w:val="3C5761B9"/>
    <w:rsid w:val="3CA9101D"/>
    <w:rsid w:val="3CBA010B"/>
    <w:rsid w:val="3CE63FF6"/>
    <w:rsid w:val="3CE905BF"/>
    <w:rsid w:val="3CE97707"/>
    <w:rsid w:val="3D0575D8"/>
    <w:rsid w:val="3D070254"/>
    <w:rsid w:val="3D172ACB"/>
    <w:rsid w:val="3D29798B"/>
    <w:rsid w:val="3D6A7333"/>
    <w:rsid w:val="3D6E1622"/>
    <w:rsid w:val="3D7B789B"/>
    <w:rsid w:val="3D7D5C9B"/>
    <w:rsid w:val="3D864BBD"/>
    <w:rsid w:val="3E210596"/>
    <w:rsid w:val="3E3C1553"/>
    <w:rsid w:val="3E3D0FF4"/>
    <w:rsid w:val="3E3E29D5"/>
    <w:rsid w:val="3E59146A"/>
    <w:rsid w:val="3E5F7DF0"/>
    <w:rsid w:val="3E674205"/>
    <w:rsid w:val="3E690F29"/>
    <w:rsid w:val="3E7D4DC3"/>
    <w:rsid w:val="3E8D0601"/>
    <w:rsid w:val="3EE00D6B"/>
    <w:rsid w:val="3F275F2C"/>
    <w:rsid w:val="3F2803B7"/>
    <w:rsid w:val="3F3E4986"/>
    <w:rsid w:val="3F4F07DB"/>
    <w:rsid w:val="3F596E1D"/>
    <w:rsid w:val="3F663A28"/>
    <w:rsid w:val="3F957A93"/>
    <w:rsid w:val="3FCD7EEB"/>
    <w:rsid w:val="40146203"/>
    <w:rsid w:val="404668A2"/>
    <w:rsid w:val="406A776C"/>
    <w:rsid w:val="406C39F6"/>
    <w:rsid w:val="40727F32"/>
    <w:rsid w:val="409962AF"/>
    <w:rsid w:val="40C26FA7"/>
    <w:rsid w:val="40C95534"/>
    <w:rsid w:val="40E652D8"/>
    <w:rsid w:val="40FA32D9"/>
    <w:rsid w:val="415D3E37"/>
    <w:rsid w:val="417E5FE2"/>
    <w:rsid w:val="41B0508B"/>
    <w:rsid w:val="41CB01CC"/>
    <w:rsid w:val="41EE2D3B"/>
    <w:rsid w:val="420E0BBE"/>
    <w:rsid w:val="42365C09"/>
    <w:rsid w:val="425B6370"/>
    <w:rsid w:val="427958E3"/>
    <w:rsid w:val="428F02E8"/>
    <w:rsid w:val="429C5A1C"/>
    <w:rsid w:val="42CE7546"/>
    <w:rsid w:val="42D9578F"/>
    <w:rsid w:val="42EA7825"/>
    <w:rsid w:val="42EC6FA1"/>
    <w:rsid w:val="42F41450"/>
    <w:rsid w:val="430C6828"/>
    <w:rsid w:val="432A3CB6"/>
    <w:rsid w:val="43373CF9"/>
    <w:rsid w:val="437904AB"/>
    <w:rsid w:val="43B407C1"/>
    <w:rsid w:val="43BB385B"/>
    <w:rsid w:val="43DE7009"/>
    <w:rsid w:val="4412289F"/>
    <w:rsid w:val="442C6742"/>
    <w:rsid w:val="442F42E4"/>
    <w:rsid w:val="44457194"/>
    <w:rsid w:val="44666E10"/>
    <w:rsid w:val="447D214A"/>
    <w:rsid w:val="44B606E1"/>
    <w:rsid w:val="44CB1108"/>
    <w:rsid w:val="44D2693A"/>
    <w:rsid w:val="44D7085B"/>
    <w:rsid w:val="44DD7EF9"/>
    <w:rsid w:val="44EC29EA"/>
    <w:rsid w:val="45077CDF"/>
    <w:rsid w:val="45230FBE"/>
    <w:rsid w:val="45314A96"/>
    <w:rsid w:val="45336CAD"/>
    <w:rsid w:val="453452ED"/>
    <w:rsid w:val="45433394"/>
    <w:rsid w:val="45CE0F29"/>
    <w:rsid w:val="45DA5119"/>
    <w:rsid w:val="45E643C0"/>
    <w:rsid w:val="45EC547B"/>
    <w:rsid w:val="45F94A6C"/>
    <w:rsid w:val="460C5318"/>
    <w:rsid w:val="461C0F8E"/>
    <w:rsid w:val="46372BC7"/>
    <w:rsid w:val="463C3836"/>
    <w:rsid w:val="463F2996"/>
    <w:rsid w:val="465678FE"/>
    <w:rsid w:val="46692122"/>
    <w:rsid w:val="469A3062"/>
    <w:rsid w:val="469F2B0B"/>
    <w:rsid w:val="46BB3260"/>
    <w:rsid w:val="46F346FE"/>
    <w:rsid w:val="477B383C"/>
    <w:rsid w:val="47AA14A8"/>
    <w:rsid w:val="47AB53A5"/>
    <w:rsid w:val="47C8054B"/>
    <w:rsid w:val="47E66258"/>
    <w:rsid w:val="48315726"/>
    <w:rsid w:val="483C445F"/>
    <w:rsid w:val="48634790"/>
    <w:rsid w:val="48780586"/>
    <w:rsid w:val="489839F7"/>
    <w:rsid w:val="48E416F1"/>
    <w:rsid w:val="48E4308C"/>
    <w:rsid w:val="49434102"/>
    <w:rsid w:val="4953484F"/>
    <w:rsid w:val="496B4C67"/>
    <w:rsid w:val="49B86B7B"/>
    <w:rsid w:val="49D26F45"/>
    <w:rsid w:val="49DE656F"/>
    <w:rsid w:val="49FC17F1"/>
    <w:rsid w:val="4A3A2CE8"/>
    <w:rsid w:val="4A3A490C"/>
    <w:rsid w:val="4A5403A7"/>
    <w:rsid w:val="4A665E5F"/>
    <w:rsid w:val="4A8E1515"/>
    <w:rsid w:val="4AA24DDB"/>
    <w:rsid w:val="4ABE0BC4"/>
    <w:rsid w:val="4ACF7478"/>
    <w:rsid w:val="4AD351BA"/>
    <w:rsid w:val="4AF633EE"/>
    <w:rsid w:val="4B1A2A23"/>
    <w:rsid w:val="4B5E2E45"/>
    <w:rsid w:val="4B813EB0"/>
    <w:rsid w:val="4B8B5712"/>
    <w:rsid w:val="4BAA0017"/>
    <w:rsid w:val="4BB723E6"/>
    <w:rsid w:val="4BE451C3"/>
    <w:rsid w:val="4BFF5B3B"/>
    <w:rsid w:val="4C2D4456"/>
    <w:rsid w:val="4C383661"/>
    <w:rsid w:val="4C504857"/>
    <w:rsid w:val="4C605FA0"/>
    <w:rsid w:val="4C94689F"/>
    <w:rsid w:val="4C9677DB"/>
    <w:rsid w:val="4CBA5E50"/>
    <w:rsid w:val="4CE5738F"/>
    <w:rsid w:val="4D081C4E"/>
    <w:rsid w:val="4D1C1FDA"/>
    <w:rsid w:val="4D2C0592"/>
    <w:rsid w:val="4D61085B"/>
    <w:rsid w:val="4D750DD8"/>
    <w:rsid w:val="4D7E147A"/>
    <w:rsid w:val="4DA644C0"/>
    <w:rsid w:val="4DAE6B42"/>
    <w:rsid w:val="4E067A35"/>
    <w:rsid w:val="4E511110"/>
    <w:rsid w:val="4E707C06"/>
    <w:rsid w:val="4E80097E"/>
    <w:rsid w:val="4E810A89"/>
    <w:rsid w:val="4EBA68A6"/>
    <w:rsid w:val="4ED565FD"/>
    <w:rsid w:val="4F262BD6"/>
    <w:rsid w:val="4F3D0E54"/>
    <w:rsid w:val="4F857791"/>
    <w:rsid w:val="4FAD7032"/>
    <w:rsid w:val="4FB22F45"/>
    <w:rsid w:val="4FBD7D5C"/>
    <w:rsid w:val="4FE87889"/>
    <w:rsid w:val="4FEB08B0"/>
    <w:rsid w:val="4FF27E90"/>
    <w:rsid w:val="501060A7"/>
    <w:rsid w:val="50153B7F"/>
    <w:rsid w:val="502E69EF"/>
    <w:rsid w:val="504B75A0"/>
    <w:rsid w:val="50CC09BA"/>
    <w:rsid w:val="50DF2A38"/>
    <w:rsid w:val="50FD3857"/>
    <w:rsid w:val="51063CEB"/>
    <w:rsid w:val="51204589"/>
    <w:rsid w:val="51484BDA"/>
    <w:rsid w:val="514C06D8"/>
    <w:rsid w:val="5157197B"/>
    <w:rsid w:val="518020DE"/>
    <w:rsid w:val="518A4E47"/>
    <w:rsid w:val="51977D33"/>
    <w:rsid w:val="51E90E1F"/>
    <w:rsid w:val="51EF580A"/>
    <w:rsid w:val="51FB089A"/>
    <w:rsid w:val="51FD764E"/>
    <w:rsid w:val="52085E07"/>
    <w:rsid w:val="52140A2F"/>
    <w:rsid w:val="52144CDC"/>
    <w:rsid w:val="52481FEA"/>
    <w:rsid w:val="526756C3"/>
    <w:rsid w:val="526828D5"/>
    <w:rsid w:val="528B0128"/>
    <w:rsid w:val="52A64ECE"/>
    <w:rsid w:val="52BC3937"/>
    <w:rsid w:val="52BC6534"/>
    <w:rsid w:val="52C553E8"/>
    <w:rsid w:val="52DE5DF2"/>
    <w:rsid w:val="53040D3D"/>
    <w:rsid w:val="53163E96"/>
    <w:rsid w:val="5325232B"/>
    <w:rsid w:val="53461839"/>
    <w:rsid w:val="534C773C"/>
    <w:rsid w:val="534E68DB"/>
    <w:rsid w:val="536D782E"/>
    <w:rsid w:val="53826977"/>
    <w:rsid w:val="53993795"/>
    <w:rsid w:val="539B3325"/>
    <w:rsid w:val="53A64422"/>
    <w:rsid w:val="53E13A6F"/>
    <w:rsid w:val="5430783C"/>
    <w:rsid w:val="543C3DD0"/>
    <w:rsid w:val="54715FE7"/>
    <w:rsid w:val="549D5EC1"/>
    <w:rsid w:val="54A25B6B"/>
    <w:rsid w:val="54AD25D8"/>
    <w:rsid w:val="54B81381"/>
    <w:rsid w:val="54F368F0"/>
    <w:rsid w:val="552002FF"/>
    <w:rsid w:val="552374E5"/>
    <w:rsid w:val="55440D6F"/>
    <w:rsid w:val="555A08F7"/>
    <w:rsid w:val="55881546"/>
    <w:rsid w:val="558E1079"/>
    <w:rsid w:val="55C612E4"/>
    <w:rsid w:val="55D50097"/>
    <w:rsid w:val="56013DBF"/>
    <w:rsid w:val="56302182"/>
    <w:rsid w:val="565F4449"/>
    <w:rsid w:val="569513B9"/>
    <w:rsid w:val="56A84DFD"/>
    <w:rsid w:val="56B71078"/>
    <w:rsid w:val="56B924B7"/>
    <w:rsid w:val="56D076F9"/>
    <w:rsid w:val="56DD5751"/>
    <w:rsid w:val="56EA7D17"/>
    <w:rsid w:val="570D55B0"/>
    <w:rsid w:val="571C1C97"/>
    <w:rsid w:val="572841C2"/>
    <w:rsid w:val="57547BA2"/>
    <w:rsid w:val="575E5672"/>
    <w:rsid w:val="57CF2865"/>
    <w:rsid w:val="57EE02F3"/>
    <w:rsid w:val="57EE1517"/>
    <w:rsid w:val="57F66044"/>
    <w:rsid w:val="57F82EC8"/>
    <w:rsid w:val="58180BA5"/>
    <w:rsid w:val="58EB1FE8"/>
    <w:rsid w:val="591A510F"/>
    <w:rsid w:val="594F2822"/>
    <w:rsid w:val="59631D88"/>
    <w:rsid w:val="597F015D"/>
    <w:rsid w:val="59842D5C"/>
    <w:rsid w:val="599643F5"/>
    <w:rsid w:val="59A75862"/>
    <w:rsid w:val="59A860E0"/>
    <w:rsid w:val="59A919AD"/>
    <w:rsid w:val="59B34A74"/>
    <w:rsid w:val="59B768CA"/>
    <w:rsid w:val="59F71FB1"/>
    <w:rsid w:val="5A105259"/>
    <w:rsid w:val="5A5A0B0C"/>
    <w:rsid w:val="5A673229"/>
    <w:rsid w:val="5A8753AD"/>
    <w:rsid w:val="5A934FEE"/>
    <w:rsid w:val="5AD352CB"/>
    <w:rsid w:val="5ADF54B5"/>
    <w:rsid w:val="5AE45E3B"/>
    <w:rsid w:val="5B2E6441"/>
    <w:rsid w:val="5B633C33"/>
    <w:rsid w:val="5B7B12F1"/>
    <w:rsid w:val="5B7E57D9"/>
    <w:rsid w:val="5B8118C0"/>
    <w:rsid w:val="5B8E24BC"/>
    <w:rsid w:val="5B941CEC"/>
    <w:rsid w:val="5BBC1C48"/>
    <w:rsid w:val="5BE72064"/>
    <w:rsid w:val="5BF0758B"/>
    <w:rsid w:val="5C25643B"/>
    <w:rsid w:val="5C3061BE"/>
    <w:rsid w:val="5C314C9C"/>
    <w:rsid w:val="5C666FF4"/>
    <w:rsid w:val="5C687665"/>
    <w:rsid w:val="5CBA6CDE"/>
    <w:rsid w:val="5CF1465E"/>
    <w:rsid w:val="5D016158"/>
    <w:rsid w:val="5D1B0BDF"/>
    <w:rsid w:val="5D1B2F0E"/>
    <w:rsid w:val="5D1B5792"/>
    <w:rsid w:val="5D4B0531"/>
    <w:rsid w:val="5D591019"/>
    <w:rsid w:val="5D69289B"/>
    <w:rsid w:val="5D6972B8"/>
    <w:rsid w:val="5D6A3615"/>
    <w:rsid w:val="5D6D6873"/>
    <w:rsid w:val="5D9D22D5"/>
    <w:rsid w:val="5DB45ED2"/>
    <w:rsid w:val="5DC77F50"/>
    <w:rsid w:val="5DE87D6B"/>
    <w:rsid w:val="5DEE3636"/>
    <w:rsid w:val="5DFB575A"/>
    <w:rsid w:val="5E775EDC"/>
    <w:rsid w:val="5EBC309D"/>
    <w:rsid w:val="5EEF5034"/>
    <w:rsid w:val="5EF52EEF"/>
    <w:rsid w:val="5F000370"/>
    <w:rsid w:val="5F1F564E"/>
    <w:rsid w:val="5F2110E7"/>
    <w:rsid w:val="5F372193"/>
    <w:rsid w:val="5F3B069F"/>
    <w:rsid w:val="5F6D12E1"/>
    <w:rsid w:val="5F7D423B"/>
    <w:rsid w:val="5FBA4655"/>
    <w:rsid w:val="5FC075BA"/>
    <w:rsid w:val="60192F41"/>
    <w:rsid w:val="60343B9C"/>
    <w:rsid w:val="605129B1"/>
    <w:rsid w:val="60625EF2"/>
    <w:rsid w:val="60C2491A"/>
    <w:rsid w:val="60E4081F"/>
    <w:rsid w:val="61585BEC"/>
    <w:rsid w:val="617C24AD"/>
    <w:rsid w:val="618011FD"/>
    <w:rsid w:val="61894FF8"/>
    <w:rsid w:val="619553CD"/>
    <w:rsid w:val="61957957"/>
    <w:rsid w:val="61A739F1"/>
    <w:rsid w:val="61AB589D"/>
    <w:rsid w:val="61B55EFD"/>
    <w:rsid w:val="621C08B9"/>
    <w:rsid w:val="62381554"/>
    <w:rsid w:val="62431899"/>
    <w:rsid w:val="624F257E"/>
    <w:rsid w:val="62861FEC"/>
    <w:rsid w:val="62886432"/>
    <w:rsid w:val="6290071C"/>
    <w:rsid w:val="629152E7"/>
    <w:rsid w:val="62A349C7"/>
    <w:rsid w:val="62B5090F"/>
    <w:rsid w:val="62E472E7"/>
    <w:rsid w:val="63027BFF"/>
    <w:rsid w:val="63232220"/>
    <w:rsid w:val="63275C4B"/>
    <w:rsid w:val="6360055C"/>
    <w:rsid w:val="6387276B"/>
    <w:rsid w:val="63B509D2"/>
    <w:rsid w:val="64074046"/>
    <w:rsid w:val="64264155"/>
    <w:rsid w:val="64446E69"/>
    <w:rsid w:val="64535DFA"/>
    <w:rsid w:val="645A5BAC"/>
    <w:rsid w:val="647B66A3"/>
    <w:rsid w:val="64884149"/>
    <w:rsid w:val="64EB51AF"/>
    <w:rsid w:val="64F42DDF"/>
    <w:rsid w:val="64F951CE"/>
    <w:rsid w:val="65105662"/>
    <w:rsid w:val="652C5E68"/>
    <w:rsid w:val="65735178"/>
    <w:rsid w:val="65955B18"/>
    <w:rsid w:val="659D21F5"/>
    <w:rsid w:val="65B869A5"/>
    <w:rsid w:val="66332866"/>
    <w:rsid w:val="6638044C"/>
    <w:rsid w:val="663F32AC"/>
    <w:rsid w:val="6655099B"/>
    <w:rsid w:val="66756CCD"/>
    <w:rsid w:val="6694706E"/>
    <w:rsid w:val="66A45498"/>
    <w:rsid w:val="66A9184D"/>
    <w:rsid w:val="66B5531C"/>
    <w:rsid w:val="66BE4026"/>
    <w:rsid w:val="66E9741C"/>
    <w:rsid w:val="6707201B"/>
    <w:rsid w:val="672E75A8"/>
    <w:rsid w:val="67407898"/>
    <w:rsid w:val="67460B8F"/>
    <w:rsid w:val="67522914"/>
    <w:rsid w:val="676870E5"/>
    <w:rsid w:val="677C2850"/>
    <w:rsid w:val="67DF722C"/>
    <w:rsid w:val="67E10ABE"/>
    <w:rsid w:val="67F46606"/>
    <w:rsid w:val="680C5667"/>
    <w:rsid w:val="68325FB4"/>
    <w:rsid w:val="68531926"/>
    <w:rsid w:val="686B2676"/>
    <w:rsid w:val="686F3128"/>
    <w:rsid w:val="688646BE"/>
    <w:rsid w:val="68962385"/>
    <w:rsid w:val="68C12286"/>
    <w:rsid w:val="68EA6894"/>
    <w:rsid w:val="69123AA6"/>
    <w:rsid w:val="69347570"/>
    <w:rsid w:val="693833C3"/>
    <w:rsid w:val="69594684"/>
    <w:rsid w:val="695B72D9"/>
    <w:rsid w:val="69761FC7"/>
    <w:rsid w:val="6985191D"/>
    <w:rsid w:val="69953160"/>
    <w:rsid w:val="69E66A22"/>
    <w:rsid w:val="69F061AA"/>
    <w:rsid w:val="69FA2ED0"/>
    <w:rsid w:val="6A067B6C"/>
    <w:rsid w:val="6A1A3FCA"/>
    <w:rsid w:val="6A3D3953"/>
    <w:rsid w:val="6A6D6639"/>
    <w:rsid w:val="6A7748F7"/>
    <w:rsid w:val="6A827A23"/>
    <w:rsid w:val="6AA87672"/>
    <w:rsid w:val="6ADC3D30"/>
    <w:rsid w:val="6AE9295F"/>
    <w:rsid w:val="6AFB7C79"/>
    <w:rsid w:val="6AFF60EC"/>
    <w:rsid w:val="6B193A93"/>
    <w:rsid w:val="6B307B5B"/>
    <w:rsid w:val="6B426193"/>
    <w:rsid w:val="6B5414A1"/>
    <w:rsid w:val="6BC9370D"/>
    <w:rsid w:val="6BCE0449"/>
    <w:rsid w:val="6BD95B9E"/>
    <w:rsid w:val="6C027255"/>
    <w:rsid w:val="6C3F32E4"/>
    <w:rsid w:val="6C4E4ABB"/>
    <w:rsid w:val="6C600A79"/>
    <w:rsid w:val="6CA65ED1"/>
    <w:rsid w:val="6CC624BC"/>
    <w:rsid w:val="6CD83F53"/>
    <w:rsid w:val="6D295C4A"/>
    <w:rsid w:val="6D3D3C78"/>
    <w:rsid w:val="6D413DAD"/>
    <w:rsid w:val="6D443763"/>
    <w:rsid w:val="6DD1011C"/>
    <w:rsid w:val="6DF40DE0"/>
    <w:rsid w:val="6E287F35"/>
    <w:rsid w:val="6E8977BA"/>
    <w:rsid w:val="6EC16F54"/>
    <w:rsid w:val="6EEB432C"/>
    <w:rsid w:val="6F097AF3"/>
    <w:rsid w:val="6F2C04BF"/>
    <w:rsid w:val="6F317F1E"/>
    <w:rsid w:val="6F4D6A39"/>
    <w:rsid w:val="6F771D08"/>
    <w:rsid w:val="6F8074E6"/>
    <w:rsid w:val="6F875705"/>
    <w:rsid w:val="6FC05FD8"/>
    <w:rsid w:val="6FD3672A"/>
    <w:rsid w:val="6FF955A2"/>
    <w:rsid w:val="700329D1"/>
    <w:rsid w:val="700851FC"/>
    <w:rsid w:val="70225169"/>
    <w:rsid w:val="702E45E1"/>
    <w:rsid w:val="705E0D61"/>
    <w:rsid w:val="706526AE"/>
    <w:rsid w:val="706F29D8"/>
    <w:rsid w:val="7082659E"/>
    <w:rsid w:val="708E730A"/>
    <w:rsid w:val="70C20D67"/>
    <w:rsid w:val="70DF6A44"/>
    <w:rsid w:val="711A620B"/>
    <w:rsid w:val="711C7A59"/>
    <w:rsid w:val="71291691"/>
    <w:rsid w:val="713505CF"/>
    <w:rsid w:val="715224D0"/>
    <w:rsid w:val="7153779F"/>
    <w:rsid w:val="71591FF4"/>
    <w:rsid w:val="715A787F"/>
    <w:rsid w:val="71600CA6"/>
    <w:rsid w:val="71770ED1"/>
    <w:rsid w:val="717B2890"/>
    <w:rsid w:val="719D62C8"/>
    <w:rsid w:val="71A80FED"/>
    <w:rsid w:val="71C209E1"/>
    <w:rsid w:val="71C27EB0"/>
    <w:rsid w:val="71D15351"/>
    <w:rsid w:val="71D5281A"/>
    <w:rsid w:val="71D562E1"/>
    <w:rsid w:val="71E459BD"/>
    <w:rsid w:val="722C4233"/>
    <w:rsid w:val="725637C4"/>
    <w:rsid w:val="725B6DAA"/>
    <w:rsid w:val="72742724"/>
    <w:rsid w:val="7289591C"/>
    <w:rsid w:val="72A82982"/>
    <w:rsid w:val="72C4455E"/>
    <w:rsid w:val="72EA5416"/>
    <w:rsid w:val="73061702"/>
    <w:rsid w:val="730B1075"/>
    <w:rsid w:val="73147065"/>
    <w:rsid w:val="73206D14"/>
    <w:rsid w:val="73216213"/>
    <w:rsid w:val="73383A24"/>
    <w:rsid w:val="7344125C"/>
    <w:rsid w:val="73457DE6"/>
    <w:rsid w:val="734C0764"/>
    <w:rsid w:val="73813468"/>
    <w:rsid w:val="73910333"/>
    <w:rsid w:val="73C03F50"/>
    <w:rsid w:val="73C44CED"/>
    <w:rsid w:val="74037D58"/>
    <w:rsid w:val="742B148A"/>
    <w:rsid w:val="742C3196"/>
    <w:rsid w:val="743B5C12"/>
    <w:rsid w:val="74462C4A"/>
    <w:rsid w:val="74471506"/>
    <w:rsid w:val="7474144A"/>
    <w:rsid w:val="748D71DC"/>
    <w:rsid w:val="74954DF3"/>
    <w:rsid w:val="749F177B"/>
    <w:rsid w:val="74BA691F"/>
    <w:rsid w:val="750E700E"/>
    <w:rsid w:val="75425B57"/>
    <w:rsid w:val="755B11BC"/>
    <w:rsid w:val="75783172"/>
    <w:rsid w:val="758E3908"/>
    <w:rsid w:val="75AF0860"/>
    <w:rsid w:val="75B954D0"/>
    <w:rsid w:val="75F54148"/>
    <w:rsid w:val="761144D3"/>
    <w:rsid w:val="763E7E83"/>
    <w:rsid w:val="764D4C19"/>
    <w:rsid w:val="766B4C39"/>
    <w:rsid w:val="76D27440"/>
    <w:rsid w:val="76D50D6E"/>
    <w:rsid w:val="76EA3AF9"/>
    <w:rsid w:val="770567DF"/>
    <w:rsid w:val="7718714A"/>
    <w:rsid w:val="776311EF"/>
    <w:rsid w:val="778704BE"/>
    <w:rsid w:val="77931C97"/>
    <w:rsid w:val="779571D0"/>
    <w:rsid w:val="779C67B0"/>
    <w:rsid w:val="779D7D11"/>
    <w:rsid w:val="77B4528F"/>
    <w:rsid w:val="780800A8"/>
    <w:rsid w:val="78116641"/>
    <w:rsid w:val="78237905"/>
    <w:rsid w:val="78326989"/>
    <w:rsid w:val="78372A30"/>
    <w:rsid w:val="783E45AE"/>
    <w:rsid w:val="7845393E"/>
    <w:rsid w:val="784A077E"/>
    <w:rsid w:val="784A7FBA"/>
    <w:rsid w:val="785250C1"/>
    <w:rsid w:val="78674FC3"/>
    <w:rsid w:val="78855ED9"/>
    <w:rsid w:val="78940C6A"/>
    <w:rsid w:val="789A6AB2"/>
    <w:rsid w:val="789B24E3"/>
    <w:rsid w:val="78A53442"/>
    <w:rsid w:val="78AD0ACD"/>
    <w:rsid w:val="78B25737"/>
    <w:rsid w:val="78F66093"/>
    <w:rsid w:val="7929073A"/>
    <w:rsid w:val="79341AEB"/>
    <w:rsid w:val="79612734"/>
    <w:rsid w:val="798C77C2"/>
    <w:rsid w:val="79986B03"/>
    <w:rsid w:val="79D02741"/>
    <w:rsid w:val="79D33DC3"/>
    <w:rsid w:val="79DF6589"/>
    <w:rsid w:val="79ED369C"/>
    <w:rsid w:val="7A2860D7"/>
    <w:rsid w:val="7A374C0C"/>
    <w:rsid w:val="7A4A67F9"/>
    <w:rsid w:val="7A4D3F8B"/>
    <w:rsid w:val="7A546ECE"/>
    <w:rsid w:val="7A5C2227"/>
    <w:rsid w:val="7A6335B5"/>
    <w:rsid w:val="7A8C22DE"/>
    <w:rsid w:val="7AA02113"/>
    <w:rsid w:val="7AA175DD"/>
    <w:rsid w:val="7ACA058E"/>
    <w:rsid w:val="7AE8798A"/>
    <w:rsid w:val="7AEF5C92"/>
    <w:rsid w:val="7AF272FC"/>
    <w:rsid w:val="7B220EF6"/>
    <w:rsid w:val="7B3A1BF7"/>
    <w:rsid w:val="7B42766E"/>
    <w:rsid w:val="7B445738"/>
    <w:rsid w:val="7B5D6256"/>
    <w:rsid w:val="7B65510B"/>
    <w:rsid w:val="7B69292E"/>
    <w:rsid w:val="7B6F4FCF"/>
    <w:rsid w:val="7B8437E3"/>
    <w:rsid w:val="7BB34DD5"/>
    <w:rsid w:val="7BB7235B"/>
    <w:rsid w:val="7C0A3837"/>
    <w:rsid w:val="7C1A3DCC"/>
    <w:rsid w:val="7C1D4C9E"/>
    <w:rsid w:val="7C201D13"/>
    <w:rsid w:val="7C371C6E"/>
    <w:rsid w:val="7CC925B3"/>
    <w:rsid w:val="7CD95DB0"/>
    <w:rsid w:val="7CDC13FD"/>
    <w:rsid w:val="7CEB17E4"/>
    <w:rsid w:val="7D0A7E5C"/>
    <w:rsid w:val="7D3923AB"/>
    <w:rsid w:val="7D485A6F"/>
    <w:rsid w:val="7D696DE8"/>
    <w:rsid w:val="7D8B7AD0"/>
    <w:rsid w:val="7DCA5BFC"/>
    <w:rsid w:val="7E3A63DB"/>
    <w:rsid w:val="7E3E7B98"/>
    <w:rsid w:val="7E4B05E8"/>
    <w:rsid w:val="7E4F21A1"/>
    <w:rsid w:val="7E7E67CC"/>
    <w:rsid w:val="7E82290F"/>
    <w:rsid w:val="7EAC4AAE"/>
    <w:rsid w:val="7EB07120"/>
    <w:rsid w:val="7EE713D0"/>
    <w:rsid w:val="7F286B7B"/>
    <w:rsid w:val="7F365E04"/>
    <w:rsid w:val="7F472B1E"/>
    <w:rsid w:val="7F4A08A0"/>
    <w:rsid w:val="7F7019CC"/>
    <w:rsid w:val="7F8F57C5"/>
    <w:rsid w:val="7FAC155A"/>
    <w:rsid w:val="7FF7534F"/>
    <w:rsid w:val="BD3D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qFormat="1" w:unhideWhenUsed="0" w:uiPriority="99" w:name="envelope address"/>
    <w:lsdException w:qFormat="1" w:unhideWhenUsed="0" w:uiPriority="99" w:name="envelope return"/>
    <w:lsdException w:qFormat="1" w:unhideWhenUsed="0" w:uiPriority="0" w:name="footnote reference" w:locked="1"/>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qFormat="1" w:unhideWhenUsed="0" w:uiPriority="99" w:name="table of authorities"/>
    <w:lsdException w:uiPriority="99" w:name="macro" w:locked="1"/>
    <w:lsdException w:qFormat="1" w:unhideWhenUsed="0" w:uiPriority="0" w:semiHidden="0" w:name="toa heading"/>
    <w:lsdException w:qFormat="1" w:unhideWhenUsed="0" w:uiPriority="0"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0" w:semiHidden="0" w:name="Title"/>
    <w:lsdException w:qFormat="1" w:unhideWhenUsed="0" w:uiPriority="99" w:name="Closing"/>
    <w:lsdException w:qFormat="1" w:unhideWhenUsed="0" w:uiPriority="99" w:semiHidden="0" w:name="Signature"/>
    <w:lsdException w:uiPriority="1"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99"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99" w:semiHidden="0" w:name="Balloon Text"/>
    <w:lsdException w:qFormat="1" w:unhideWhenUsed="0" w:uiPriority="59" w:semiHidden="0" w:name="Table Grid"/>
    <w:lsdException w:qFormat="1" w:unhideWhenUsed="0"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40"/>
    <w:qFormat/>
    <w:uiPriority w:val="99"/>
    <w:pPr>
      <w:numPr>
        <w:ilvl w:val="0"/>
        <w:numId w:val="1"/>
      </w:numPr>
      <w:tabs>
        <w:tab w:val="right" w:leader="dot" w:pos="9061"/>
      </w:tabs>
      <w:spacing w:line="360" w:lineRule="auto"/>
      <w:jc w:val="center"/>
      <w:outlineLvl w:val="0"/>
    </w:pPr>
    <w:rPr>
      <w:b/>
      <w:iCs/>
      <w:sz w:val="36"/>
      <w:szCs w:val="20"/>
    </w:rPr>
  </w:style>
  <w:style w:type="paragraph" w:styleId="4">
    <w:name w:val="heading 2"/>
    <w:basedOn w:val="1"/>
    <w:next w:val="1"/>
    <w:link w:val="144"/>
    <w:qFormat/>
    <w:uiPriority w:val="0"/>
    <w:pPr>
      <w:ind w:left="420" w:leftChars="200"/>
      <w:outlineLvl w:val="1"/>
    </w:pPr>
    <w:rPr>
      <w:bCs/>
      <w:sz w:val="28"/>
      <w:szCs w:val="28"/>
    </w:rPr>
  </w:style>
  <w:style w:type="paragraph" w:styleId="5">
    <w:name w:val="heading 3"/>
    <w:basedOn w:val="1"/>
    <w:next w:val="1"/>
    <w:link w:val="141"/>
    <w:qFormat/>
    <w:uiPriority w:val="99"/>
    <w:pPr>
      <w:keepNext/>
      <w:keepLines/>
      <w:numPr>
        <w:ilvl w:val="2"/>
        <w:numId w:val="1"/>
      </w:numPr>
      <w:spacing w:line="360" w:lineRule="auto"/>
      <w:ind w:left="0" w:firstLine="200" w:firstLineChars="200"/>
      <w:jc w:val="left"/>
      <w:outlineLvl w:val="2"/>
    </w:pPr>
    <w:rPr>
      <w:bCs/>
      <w:kern w:val="0"/>
      <w:sz w:val="24"/>
      <w:szCs w:val="32"/>
    </w:rPr>
  </w:style>
  <w:style w:type="paragraph" w:styleId="6">
    <w:name w:val="heading 4"/>
    <w:basedOn w:val="1"/>
    <w:next w:val="1"/>
    <w:link w:val="145"/>
    <w:qFormat/>
    <w:uiPriority w:val="99"/>
    <w:pPr>
      <w:keepNext/>
      <w:keepLines/>
      <w:numPr>
        <w:ilvl w:val="3"/>
        <w:numId w:val="1"/>
      </w:numPr>
      <w:spacing w:before="280" w:after="290" w:line="376" w:lineRule="auto"/>
      <w:outlineLvl w:val="3"/>
    </w:pPr>
    <w:rPr>
      <w:rFonts w:ascii="Arial" w:hAnsi="Arial" w:eastAsia="黑体"/>
      <w:b/>
      <w:bCs/>
      <w:kern w:val="0"/>
      <w:sz w:val="28"/>
      <w:szCs w:val="28"/>
    </w:rPr>
  </w:style>
  <w:style w:type="paragraph" w:styleId="7">
    <w:name w:val="heading 5"/>
    <w:basedOn w:val="1"/>
    <w:next w:val="1"/>
    <w:link w:val="146"/>
    <w:qFormat/>
    <w:uiPriority w:val="99"/>
    <w:pPr>
      <w:keepNext/>
      <w:keepLines/>
      <w:numPr>
        <w:ilvl w:val="4"/>
        <w:numId w:val="1"/>
      </w:numPr>
      <w:spacing w:before="280" w:after="290" w:line="376" w:lineRule="auto"/>
      <w:outlineLvl w:val="4"/>
    </w:pPr>
    <w:rPr>
      <w:b/>
      <w:bCs/>
      <w:kern w:val="0"/>
      <w:sz w:val="28"/>
      <w:szCs w:val="28"/>
    </w:rPr>
  </w:style>
  <w:style w:type="paragraph" w:styleId="8">
    <w:name w:val="heading 6"/>
    <w:basedOn w:val="1"/>
    <w:next w:val="1"/>
    <w:link w:val="147"/>
    <w:qFormat/>
    <w:uiPriority w:val="99"/>
    <w:pPr>
      <w:keepNext/>
      <w:keepLines/>
      <w:numPr>
        <w:ilvl w:val="5"/>
        <w:numId w:val="1"/>
      </w:numPr>
      <w:spacing w:before="240" w:after="64" w:line="320" w:lineRule="auto"/>
      <w:outlineLvl w:val="5"/>
    </w:pPr>
    <w:rPr>
      <w:rFonts w:ascii="Arial" w:hAnsi="Arial" w:eastAsia="黑体"/>
      <w:b/>
      <w:bCs/>
      <w:kern w:val="0"/>
      <w:sz w:val="20"/>
      <w:szCs w:val="20"/>
    </w:rPr>
  </w:style>
  <w:style w:type="paragraph" w:styleId="9">
    <w:name w:val="heading 7"/>
    <w:basedOn w:val="1"/>
    <w:next w:val="1"/>
    <w:link w:val="148"/>
    <w:qFormat/>
    <w:uiPriority w:val="99"/>
    <w:pPr>
      <w:keepNext/>
      <w:keepLines/>
      <w:numPr>
        <w:ilvl w:val="6"/>
        <w:numId w:val="1"/>
      </w:numPr>
      <w:spacing w:before="240" w:after="64" w:line="320" w:lineRule="auto"/>
      <w:jc w:val="left"/>
      <w:outlineLvl w:val="6"/>
    </w:pPr>
    <w:rPr>
      <w:b/>
      <w:bCs/>
      <w:kern w:val="0"/>
      <w:sz w:val="24"/>
      <w:szCs w:val="24"/>
    </w:rPr>
  </w:style>
  <w:style w:type="paragraph" w:styleId="10">
    <w:name w:val="heading 8"/>
    <w:basedOn w:val="1"/>
    <w:next w:val="1"/>
    <w:link w:val="149"/>
    <w:qFormat/>
    <w:uiPriority w:val="99"/>
    <w:pPr>
      <w:keepNext/>
      <w:keepLines/>
      <w:numPr>
        <w:ilvl w:val="7"/>
        <w:numId w:val="1"/>
      </w:numPr>
      <w:tabs>
        <w:tab w:val="left" w:pos="1440"/>
      </w:tabs>
      <w:adjustRightInd w:val="0"/>
      <w:spacing w:line="360" w:lineRule="atLeast"/>
      <w:outlineLvl w:val="7"/>
    </w:pPr>
    <w:rPr>
      <w:rFonts w:ascii="Cambria" w:hAnsi="Cambria"/>
      <w:kern w:val="0"/>
      <w:sz w:val="24"/>
      <w:szCs w:val="24"/>
    </w:rPr>
  </w:style>
  <w:style w:type="paragraph" w:styleId="11">
    <w:name w:val="heading 9"/>
    <w:basedOn w:val="1"/>
    <w:next w:val="1"/>
    <w:link w:val="150"/>
    <w:qFormat/>
    <w:uiPriority w:val="99"/>
    <w:pPr>
      <w:keepNext/>
      <w:keepLines/>
      <w:numPr>
        <w:ilvl w:val="8"/>
        <w:numId w:val="1"/>
      </w:numPr>
      <w:tabs>
        <w:tab w:val="left" w:pos="1584"/>
      </w:tabs>
      <w:adjustRightInd w:val="0"/>
      <w:spacing w:line="360" w:lineRule="atLeast"/>
      <w:outlineLvl w:val="8"/>
    </w:pPr>
    <w:rPr>
      <w:rFonts w:ascii="Cambria" w:hAnsi="Cambria"/>
      <w:kern w:val="0"/>
    </w:rPr>
  </w:style>
  <w:style w:type="character" w:default="1" w:styleId="121">
    <w:name w:val="Default Paragraph Font"/>
    <w:semiHidden/>
    <w:unhideWhenUsed/>
    <w:uiPriority w:val="1"/>
  </w:style>
  <w:style w:type="table" w:default="1" w:styleId="7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39"/>
    <w:qFormat/>
    <w:uiPriority w:val="99"/>
    <w:pPr>
      <w:ind w:firstLine="420" w:firstLineChars="200"/>
    </w:pPr>
    <w:rPr>
      <w:kern w:val="0"/>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39"/>
    <w:pPr>
      <w:ind w:left="1260"/>
      <w:jc w:val="left"/>
    </w:pPr>
    <w:rPr>
      <w:sz w:val="18"/>
      <w:szCs w:val="18"/>
    </w:rPr>
  </w:style>
  <w:style w:type="paragraph" w:styleId="14">
    <w:name w:val="List Number 2"/>
    <w:basedOn w:val="1"/>
    <w:semiHidden/>
    <w:qFormat/>
    <w:uiPriority w:val="99"/>
    <w:pPr>
      <w:tabs>
        <w:tab w:val="left" w:pos="780"/>
      </w:tabs>
      <w:spacing w:after="200" w:line="276" w:lineRule="auto"/>
      <w:ind w:left="780" w:leftChars="200" w:hanging="360" w:hangingChars="200"/>
      <w:jc w:val="left"/>
    </w:pPr>
    <w:rPr>
      <w:rFonts w:ascii="Calibri" w:hAnsi="Calibri" w:cs="Calibri"/>
      <w:kern w:val="0"/>
      <w:sz w:val="22"/>
      <w:szCs w:val="22"/>
      <w:lang w:eastAsia="en-US"/>
    </w:rPr>
  </w:style>
  <w:style w:type="paragraph" w:styleId="15">
    <w:name w:val="table of authorities"/>
    <w:basedOn w:val="1"/>
    <w:next w:val="1"/>
    <w:semiHidden/>
    <w:qFormat/>
    <w:uiPriority w:val="99"/>
    <w:pPr>
      <w:spacing w:after="200" w:line="276" w:lineRule="auto"/>
      <w:ind w:left="420" w:leftChars="200"/>
      <w:jc w:val="left"/>
    </w:pPr>
    <w:rPr>
      <w:rFonts w:ascii="Calibri" w:hAnsi="Calibri" w:cs="Calibri"/>
      <w:kern w:val="0"/>
      <w:sz w:val="22"/>
      <w:szCs w:val="22"/>
      <w:lang w:eastAsia="en-US"/>
    </w:rPr>
  </w:style>
  <w:style w:type="paragraph" w:styleId="16">
    <w:name w:val="Note Heading"/>
    <w:basedOn w:val="1"/>
    <w:next w:val="1"/>
    <w:link w:val="151"/>
    <w:semiHidden/>
    <w:qFormat/>
    <w:uiPriority w:val="99"/>
    <w:pPr>
      <w:spacing w:after="200" w:line="276" w:lineRule="auto"/>
      <w:jc w:val="center"/>
    </w:pPr>
    <w:rPr>
      <w:kern w:val="0"/>
    </w:rPr>
  </w:style>
  <w:style w:type="paragraph" w:styleId="17">
    <w:name w:val="List Bullet 4"/>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18">
    <w:name w:val="E-mail Signature"/>
    <w:basedOn w:val="1"/>
    <w:link w:val="152"/>
    <w:semiHidden/>
    <w:qFormat/>
    <w:uiPriority w:val="99"/>
    <w:pPr>
      <w:spacing w:after="200" w:line="276" w:lineRule="auto"/>
      <w:jc w:val="left"/>
    </w:pPr>
    <w:rPr>
      <w:kern w:val="0"/>
    </w:rPr>
  </w:style>
  <w:style w:type="paragraph" w:styleId="19">
    <w:name w:val="List Number"/>
    <w:basedOn w:val="1"/>
    <w:semiHidden/>
    <w:qFormat/>
    <w:uiPriority w:val="99"/>
    <w:pPr>
      <w:tabs>
        <w:tab w:val="left" w:pos="360"/>
      </w:tabs>
      <w:spacing w:after="200" w:line="276" w:lineRule="auto"/>
      <w:ind w:left="360" w:hanging="360" w:hangingChars="200"/>
      <w:jc w:val="left"/>
    </w:pPr>
    <w:rPr>
      <w:rFonts w:ascii="Calibri" w:hAnsi="Calibri" w:cs="Calibri"/>
      <w:kern w:val="0"/>
      <w:sz w:val="22"/>
      <w:szCs w:val="22"/>
      <w:lang w:eastAsia="en-US"/>
    </w:rPr>
  </w:style>
  <w:style w:type="paragraph" w:styleId="20">
    <w:name w:val="caption"/>
    <w:basedOn w:val="1"/>
    <w:next w:val="1"/>
    <w:qFormat/>
    <w:uiPriority w:val="0"/>
    <w:pPr>
      <w:spacing w:before="152" w:after="160"/>
    </w:pPr>
    <w:rPr>
      <w:rFonts w:ascii="Arial" w:hAnsi="Arial" w:eastAsia="黑体" w:cs="Arial"/>
      <w:sz w:val="20"/>
      <w:szCs w:val="20"/>
    </w:rPr>
  </w:style>
  <w:style w:type="paragraph" w:styleId="21">
    <w:name w:val="List Bullet"/>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22">
    <w:name w:val="envelope address"/>
    <w:basedOn w:val="1"/>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szCs w:val="24"/>
      <w:lang w:eastAsia="en-US"/>
    </w:rPr>
  </w:style>
  <w:style w:type="paragraph" w:styleId="23">
    <w:name w:val="Document Map"/>
    <w:basedOn w:val="1"/>
    <w:link w:val="153"/>
    <w:qFormat/>
    <w:uiPriority w:val="0"/>
    <w:pPr>
      <w:shd w:val="clear" w:color="auto" w:fill="000080"/>
    </w:pPr>
    <w:rPr>
      <w:kern w:val="0"/>
      <w:sz w:val="2"/>
      <w:szCs w:val="2"/>
    </w:rPr>
  </w:style>
  <w:style w:type="paragraph" w:styleId="24">
    <w:name w:val="toa heading"/>
    <w:basedOn w:val="1"/>
    <w:next w:val="1"/>
    <w:qFormat/>
    <w:uiPriority w:val="0"/>
    <w:pPr>
      <w:spacing w:before="120"/>
    </w:pPr>
    <w:rPr>
      <w:rFonts w:ascii="Arial" w:hAnsi="Arial" w:cs="Arial"/>
      <w:sz w:val="24"/>
      <w:szCs w:val="24"/>
    </w:rPr>
  </w:style>
  <w:style w:type="paragraph" w:styleId="25">
    <w:name w:val="annotation text"/>
    <w:basedOn w:val="1"/>
    <w:link w:val="154"/>
    <w:qFormat/>
    <w:uiPriority w:val="99"/>
    <w:pPr>
      <w:spacing w:after="200" w:line="276" w:lineRule="auto"/>
      <w:jc w:val="left"/>
    </w:pPr>
    <w:rPr>
      <w:kern w:val="0"/>
    </w:rPr>
  </w:style>
  <w:style w:type="paragraph" w:styleId="26">
    <w:name w:val="Salutation"/>
    <w:basedOn w:val="1"/>
    <w:next w:val="1"/>
    <w:link w:val="155"/>
    <w:qFormat/>
    <w:uiPriority w:val="99"/>
    <w:pPr>
      <w:spacing w:after="200" w:line="276" w:lineRule="auto"/>
      <w:jc w:val="left"/>
    </w:pPr>
    <w:rPr>
      <w:kern w:val="0"/>
    </w:rPr>
  </w:style>
  <w:style w:type="paragraph" w:styleId="27">
    <w:name w:val="Body Text 3"/>
    <w:basedOn w:val="1"/>
    <w:link w:val="156"/>
    <w:qFormat/>
    <w:uiPriority w:val="99"/>
    <w:rPr>
      <w:kern w:val="0"/>
      <w:sz w:val="16"/>
      <w:szCs w:val="16"/>
    </w:rPr>
  </w:style>
  <w:style w:type="paragraph" w:styleId="28">
    <w:name w:val="Closing"/>
    <w:basedOn w:val="1"/>
    <w:link w:val="157"/>
    <w:semiHidden/>
    <w:qFormat/>
    <w:uiPriority w:val="99"/>
    <w:pPr>
      <w:spacing w:after="200" w:line="276" w:lineRule="auto"/>
      <w:ind w:left="100" w:leftChars="2100"/>
      <w:jc w:val="left"/>
    </w:pPr>
    <w:rPr>
      <w:kern w:val="0"/>
    </w:rPr>
  </w:style>
  <w:style w:type="paragraph" w:styleId="29">
    <w:name w:val="List Bullet 3"/>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0">
    <w:name w:val="Body Text"/>
    <w:basedOn w:val="1"/>
    <w:link w:val="143"/>
    <w:qFormat/>
    <w:uiPriority w:val="99"/>
    <w:pPr>
      <w:spacing w:after="120"/>
    </w:pPr>
    <w:rPr>
      <w:kern w:val="0"/>
    </w:rPr>
  </w:style>
  <w:style w:type="paragraph" w:styleId="31">
    <w:name w:val="Body Text Indent"/>
    <w:basedOn w:val="1"/>
    <w:link w:val="158"/>
    <w:qFormat/>
    <w:uiPriority w:val="0"/>
    <w:pPr>
      <w:spacing w:line="500" w:lineRule="exact"/>
      <w:ind w:left="1588" w:leftChars="832" w:firstLine="433" w:firstLineChars="196"/>
    </w:pPr>
    <w:rPr>
      <w:kern w:val="0"/>
    </w:rPr>
  </w:style>
  <w:style w:type="paragraph" w:styleId="32">
    <w:name w:val="List Number 3"/>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3">
    <w:name w:val="List 2"/>
    <w:basedOn w:val="1"/>
    <w:qFormat/>
    <w:uiPriority w:val="99"/>
    <w:pPr>
      <w:ind w:left="100" w:leftChars="200" w:hanging="200" w:hangingChars="200"/>
    </w:pPr>
  </w:style>
  <w:style w:type="paragraph" w:styleId="34">
    <w:name w:val="List Continue"/>
    <w:basedOn w:val="1"/>
    <w:qFormat/>
    <w:uiPriority w:val="99"/>
    <w:pPr>
      <w:spacing w:after="120"/>
      <w:ind w:left="420" w:leftChars="200"/>
    </w:pPr>
  </w:style>
  <w:style w:type="paragraph" w:styleId="35">
    <w:name w:val="Block Text"/>
    <w:basedOn w:val="1"/>
    <w:semiHidden/>
    <w:qFormat/>
    <w:uiPriority w:val="99"/>
    <w:pPr>
      <w:spacing w:after="120" w:line="276" w:lineRule="auto"/>
      <w:ind w:left="1440" w:leftChars="700" w:right="1440" w:rightChars="700"/>
      <w:jc w:val="left"/>
    </w:pPr>
    <w:rPr>
      <w:rFonts w:ascii="Calibri" w:hAnsi="Calibri" w:cs="Calibri"/>
      <w:kern w:val="0"/>
      <w:sz w:val="22"/>
      <w:szCs w:val="22"/>
      <w:lang w:eastAsia="en-US"/>
    </w:rPr>
  </w:style>
  <w:style w:type="paragraph" w:styleId="36">
    <w:name w:val="List Bullet 2"/>
    <w:basedOn w:val="1"/>
    <w:qFormat/>
    <w:uiPriority w:val="0"/>
    <w:pPr>
      <w:tabs>
        <w:tab w:val="left" w:pos="360"/>
      </w:tabs>
      <w:spacing w:after="200" w:line="276" w:lineRule="auto"/>
      <w:ind w:left="360" w:hanging="360"/>
      <w:jc w:val="left"/>
    </w:pPr>
    <w:rPr>
      <w:rFonts w:ascii="Calibri" w:hAnsi="Calibri" w:cs="Calibri"/>
      <w:kern w:val="0"/>
      <w:sz w:val="22"/>
      <w:szCs w:val="22"/>
      <w:lang w:eastAsia="en-US"/>
    </w:rPr>
  </w:style>
  <w:style w:type="paragraph" w:styleId="37">
    <w:name w:val="HTML Address"/>
    <w:basedOn w:val="1"/>
    <w:link w:val="159"/>
    <w:semiHidden/>
    <w:qFormat/>
    <w:uiPriority w:val="99"/>
    <w:pPr>
      <w:spacing w:after="200" w:line="276" w:lineRule="auto"/>
      <w:jc w:val="left"/>
    </w:pPr>
    <w:rPr>
      <w:i/>
      <w:iCs/>
      <w:kern w:val="0"/>
    </w:rPr>
  </w:style>
  <w:style w:type="paragraph" w:styleId="38">
    <w:name w:val="toc 5"/>
    <w:basedOn w:val="1"/>
    <w:next w:val="1"/>
    <w:qFormat/>
    <w:uiPriority w:val="39"/>
    <w:pPr>
      <w:ind w:left="840"/>
      <w:jc w:val="left"/>
    </w:pPr>
    <w:rPr>
      <w:sz w:val="18"/>
      <w:szCs w:val="18"/>
    </w:rPr>
  </w:style>
  <w:style w:type="paragraph" w:styleId="39">
    <w:name w:val="toc 3"/>
    <w:basedOn w:val="1"/>
    <w:next w:val="1"/>
    <w:qFormat/>
    <w:uiPriority w:val="39"/>
    <w:pPr>
      <w:spacing w:line="360" w:lineRule="auto"/>
      <w:ind w:left="420"/>
      <w:jc w:val="left"/>
    </w:pPr>
    <w:rPr>
      <w:iCs/>
      <w:sz w:val="24"/>
      <w:szCs w:val="20"/>
    </w:rPr>
  </w:style>
  <w:style w:type="paragraph" w:styleId="40">
    <w:name w:val="Plain Text"/>
    <w:basedOn w:val="1"/>
    <w:link w:val="160"/>
    <w:qFormat/>
    <w:uiPriority w:val="0"/>
    <w:rPr>
      <w:rFonts w:ascii="宋体" w:hAnsi="Courier New"/>
      <w:kern w:val="0"/>
    </w:rPr>
  </w:style>
  <w:style w:type="paragraph" w:styleId="41">
    <w:name w:val="List Bullet 5"/>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42">
    <w:name w:val="List Number 4"/>
    <w:basedOn w:val="1"/>
    <w:semiHidden/>
    <w:qFormat/>
    <w:uiPriority w:val="99"/>
    <w:pPr>
      <w:numPr>
        <w:ilvl w:val="0"/>
        <w:numId w:val="2"/>
      </w:numPr>
      <w:spacing w:after="200" w:line="276" w:lineRule="auto"/>
      <w:jc w:val="left"/>
    </w:pPr>
    <w:rPr>
      <w:rFonts w:ascii="Calibri" w:hAnsi="Calibri" w:cs="Calibri"/>
      <w:kern w:val="0"/>
      <w:sz w:val="22"/>
      <w:szCs w:val="22"/>
      <w:lang w:eastAsia="en-US"/>
    </w:rPr>
  </w:style>
  <w:style w:type="paragraph" w:styleId="43">
    <w:name w:val="toc 8"/>
    <w:basedOn w:val="1"/>
    <w:next w:val="1"/>
    <w:qFormat/>
    <w:uiPriority w:val="39"/>
    <w:pPr>
      <w:ind w:left="1470"/>
      <w:jc w:val="left"/>
    </w:pPr>
    <w:rPr>
      <w:sz w:val="18"/>
      <w:szCs w:val="18"/>
    </w:rPr>
  </w:style>
  <w:style w:type="paragraph" w:styleId="44">
    <w:name w:val="Date"/>
    <w:basedOn w:val="1"/>
    <w:next w:val="1"/>
    <w:link w:val="161"/>
    <w:qFormat/>
    <w:uiPriority w:val="0"/>
    <w:pPr>
      <w:ind w:left="100" w:leftChars="2500"/>
    </w:pPr>
    <w:rPr>
      <w:kern w:val="0"/>
    </w:rPr>
  </w:style>
  <w:style w:type="paragraph" w:styleId="45">
    <w:name w:val="Body Text Indent 2"/>
    <w:basedOn w:val="1"/>
    <w:link w:val="162"/>
    <w:qFormat/>
    <w:uiPriority w:val="0"/>
    <w:pPr>
      <w:spacing w:line="500" w:lineRule="exact"/>
      <w:ind w:firstLine="442" w:firstLineChars="200"/>
    </w:pPr>
    <w:rPr>
      <w:kern w:val="0"/>
    </w:rPr>
  </w:style>
  <w:style w:type="paragraph" w:styleId="46">
    <w:name w:val="List Continue 5"/>
    <w:basedOn w:val="1"/>
    <w:semiHidden/>
    <w:qFormat/>
    <w:uiPriority w:val="99"/>
    <w:pPr>
      <w:spacing w:after="120" w:line="276" w:lineRule="auto"/>
      <w:ind w:left="2100" w:leftChars="1000"/>
      <w:jc w:val="left"/>
    </w:pPr>
    <w:rPr>
      <w:rFonts w:ascii="Calibri" w:hAnsi="Calibri" w:cs="Calibri"/>
      <w:kern w:val="0"/>
      <w:sz w:val="22"/>
      <w:szCs w:val="22"/>
      <w:lang w:eastAsia="en-US"/>
    </w:rPr>
  </w:style>
  <w:style w:type="paragraph" w:styleId="47">
    <w:name w:val="Balloon Text"/>
    <w:basedOn w:val="1"/>
    <w:link w:val="163"/>
    <w:qFormat/>
    <w:uiPriority w:val="99"/>
    <w:rPr>
      <w:sz w:val="18"/>
      <w:szCs w:val="18"/>
    </w:rPr>
  </w:style>
  <w:style w:type="paragraph" w:styleId="48">
    <w:name w:val="footer"/>
    <w:basedOn w:val="1"/>
    <w:link w:val="164"/>
    <w:qFormat/>
    <w:uiPriority w:val="99"/>
    <w:pPr>
      <w:tabs>
        <w:tab w:val="center" w:pos="4153"/>
        <w:tab w:val="right" w:pos="8306"/>
      </w:tabs>
      <w:snapToGrid w:val="0"/>
      <w:jc w:val="left"/>
    </w:pPr>
    <w:rPr>
      <w:kern w:val="0"/>
      <w:sz w:val="18"/>
      <w:szCs w:val="18"/>
    </w:rPr>
  </w:style>
  <w:style w:type="paragraph" w:styleId="49">
    <w:name w:val="envelope return"/>
    <w:basedOn w:val="1"/>
    <w:semiHidden/>
    <w:qFormat/>
    <w:uiPriority w:val="99"/>
    <w:pPr>
      <w:snapToGrid w:val="0"/>
      <w:spacing w:after="200" w:line="276" w:lineRule="auto"/>
      <w:jc w:val="left"/>
    </w:pPr>
    <w:rPr>
      <w:rFonts w:ascii="Arial" w:hAnsi="Arial" w:cs="Arial"/>
      <w:kern w:val="0"/>
      <w:sz w:val="22"/>
      <w:szCs w:val="22"/>
      <w:lang w:eastAsia="en-US"/>
    </w:rPr>
  </w:style>
  <w:style w:type="paragraph" w:styleId="50">
    <w:name w:val="header"/>
    <w:basedOn w:val="1"/>
    <w:link w:val="165"/>
    <w:qFormat/>
    <w:uiPriority w:val="99"/>
    <w:pPr>
      <w:pBdr>
        <w:bottom w:val="single" w:color="auto" w:sz="6" w:space="1"/>
      </w:pBdr>
      <w:tabs>
        <w:tab w:val="center" w:pos="4153"/>
        <w:tab w:val="right" w:pos="8306"/>
      </w:tabs>
      <w:snapToGrid w:val="0"/>
      <w:jc w:val="center"/>
    </w:pPr>
    <w:rPr>
      <w:kern w:val="0"/>
      <w:sz w:val="18"/>
      <w:szCs w:val="18"/>
    </w:rPr>
  </w:style>
  <w:style w:type="paragraph" w:styleId="51">
    <w:name w:val="Signature"/>
    <w:basedOn w:val="1"/>
    <w:link w:val="166"/>
    <w:qFormat/>
    <w:uiPriority w:val="99"/>
    <w:pPr>
      <w:ind w:left="100" w:leftChars="2100"/>
    </w:pPr>
    <w:rPr>
      <w:kern w:val="0"/>
    </w:rPr>
  </w:style>
  <w:style w:type="paragraph" w:styleId="52">
    <w:name w:val="toc 1"/>
    <w:basedOn w:val="1"/>
    <w:next w:val="1"/>
    <w:qFormat/>
    <w:uiPriority w:val="39"/>
    <w:pPr>
      <w:spacing w:before="120" w:after="120"/>
      <w:jc w:val="left"/>
    </w:pPr>
    <w:rPr>
      <w:b/>
      <w:bCs/>
      <w:caps/>
      <w:sz w:val="24"/>
      <w:szCs w:val="20"/>
    </w:rPr>
  </w:style>
  <w:style w:type="paragraph" w:styleId="53">
    <w:name w:val="List Continue 4"/>
    <w:basedOn w:val="1"/>
    <w:qFormat/>
    <w:uiPriority w:val="99"/>
    <w:pPr>
      <w:spacing w:after="120"/>
      <w:ind w:left="1680" w:leftChars="800"/>
    </w:pPr>
  </w:style>
  <w:style w:type="paragraph" w:styleId="54">
    <w:name w:val="toc 4"/>
    <w:basedOn w:val="1"/>
    <w:next w:val="1"/>
    <w:qFormat/>
    <w:uiPriority w:val="39"/>
    <w:pPr>
      <w:ind w:left="630"/>
      <w:jc w:val="left"/>
    </w:pPr>
    <w:rPr>
      <w:sz w:val="18"/>
      <w:szCs w:val="18"/>
    </w:rPr>
  </w:style>
  <w:style w:type="paragraph" w:styleId="55">
    <w:name w:val="Subtitle"/>
    <w:basedOn w:val="1"/>
    <w:link w:val="167"/>
    <w:qFormat/>
    <w:uiPriority w:val="99"/>
    <w:pPr>
      <w:spacing w:before="240" w:after="60" w:line="312" w:lineRule="auto"/>
      <w:jc w:val="center"/>
      <w:outlineLvl w:val="1"/>
    </w:pPr>
    <w:rPr>
      <w:rFonts w:ascii="Cambria" w:hAnsi="Cambria"/>
      <w:b/>
      <w:bCs/>
      <w:kern w:val="28"/>
      <w:sz w:val="32"/>
      <w:szCs w:val="32"/>
    </w:rPr>
  </w:style>
  <w:style w:type="paragraph" w:styleId="56">
    <w:name w:val="List Number 5"/>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57">
    <w:name w:val="List"/>
    <w:basedOn w:val="1"/>
    <w:qFormat/>
    <w:uiPriority w:val="0"/>
    <w:pPr>
      <w:ind w:left="200" w:hanging="200" w:hangingChars="200"/>
    </w:pPr>
  </w:style>
  <w:style w:type="paragraph" w:styleId="58">
    <w:name w:val="footnote text"/>
    <w:basedOn w:val="1"/>
    <w:semiHidden/>
    <w:qFormat/>
    <w:locked/>
    <w:uiPriority w:val="0"/>
    <w:pPr>
      <w:snapToGrid w:val="0"/>
      <w:jc w:val="left"/>
    </w:pPr>
    <w:rPr>
      <w:sz w:val="18"/>
      <w:szCs w:val="18"/>
    </w:rPr>
  </w:style>
  <w:style w:type="paragraph" w:styleId="59">
    <w:name w:val="toc 6"/>
    <w:basedOn w:val="1"/>
    <w:next w:val="1"/>
    <w:qFormat/>
    <w:uiPriority w:val="39"/>
    <w:pPr>
      <w:ind w:left="1050"/>
      <w:jc w:val="left"/>
    </w:pPr>
    <w:rPr>
      <w:sz w:val="18"/>
      <w:szCs w:val="18"/>
    </w:rPr>
  </w:style>
  <w:style w:type="paragraph" w:styleId="60">
    <w:name w:val="List 5"/>
    <w:basedOn w:val="1"/>
    <w:qFormat/>
    <w:uiPriority w:val="99"/>
    <w:pPr>
      <w:ind w:left="100" w:leftChars="800" w:hanging="200" w:hangingChars="200"/>
    </w:pPr>
  </w:style>
  <w:style w:type="paragraph" w:styleId="61">
    <w:name w:val="Body Text Indent 3"/>
    <w:basedOn w:val="1"/>
    <w:link w:val="168"/>
    <w:qFormat/>
    <w:uiPriority w:val="0"/>
    <w:pPr>
      <w:tabs>
        <w:tab w:val="left" w:pos="1134"/>
        <w:tab w:val="left" w:pos="5481"/>
        <w:tab w:val="left" w:pos="5859"/>
      </w:tabs>
      <w:spacing w:line="500" w:lineRule="exact"/>
      <w:ind w:firstLine="8275" w:firstLineChars="1200"/>
    </w:pPr>
    <w:rPr>
      <w:kern w:val="0"/>
      <w:sz w:val="16"/>
      <w:szCs w:val="16"/>
    </w:rPr>
  </w:style>
  <w:style w:type="paragraph" w:styleId="62">
    <w:name w:val="toc 2"/>
    <w:basedOn w:val="1"/>
    <w:next w:val="1"/>
    <w:qFormat/>
    <w:uiPriority w:val="39"/>
    <w:pPr>
      <w:spacing w:line="360" w:lineRule="auto"/>
      <w:ind w:left="210"/>
      <w:jc w:val="left"/>
    </w:pPr>
    <w:rPr>
      <w:smallCaps/>
      <w:sz w:val="24"/>
      <w:szCs w:val="20"/>
    </w:rPr>
  </w:style>
  <w:style w:type="paragraph" w:styleId="63">
    <w:name w:val="toc 9"/>
    <w:basedOn w:val="1"/>
    <w:next w:val="1"/>
    <w:qFormat/>
    <w:uiPriority w:val="39"/>
    <w:pPr>
      <w:ind w:left="1680"/>
      <w:jc w:val="left"/>
    </w:pPr>
    <w:rPr>
      <w:sz w:val="18"/>
      <w:szCs w:val="18"/>
    </w:rPr>
  </w:style>
  <w:style w:type="paragraph" w:styleId="64">
    <w:name w:val="Body Text 2"/>
    <w:basedOn w:val="1"/>
    <w:link w:val="169"/>
    <w:qFormat/>
    <w:uiPriority w:val="99"/>
    <w:rPr>
      <w:kern w:val="0"/>
    </w:rPr>
  </w:style>
  <w:style w:type="paragraph" w:styleId="65">
    <w:name w:val="List 4"/>
    <w:basedOn w:val="1"/>
    <w:qFormat/>
    <w:uiPriority w:val="99"/>
    <w:pPr>
      <w:ind w:left="100" w:leftChars="600" w:hanging="200" w:hangingChars="200"/>
    </w:pPr>
  </w:style>
  <w:style w:type="paragraph" w:styleId="66">
    <w:name w:val="List Continue 2"/>
    <w:basedOn w:val="1"/>
    <w:qFormat/>
    <w:uiPriority w:val="99"/>
    <w:pPr>
      <w:spacing w:after="120"/>
      <w:ind w:left="840" w:leftChars="400"/>
    </w:pPr>
  </w:style>
  <w:style w:type="paragraph" w:styleId="67">
    <w:name w:val="Message Header"/>
    <w:basedOn w:val="1"/>
    <w:link w:val="170"/>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kern w:val="0"/>
      <w:sz w:val="24"/>
      <w:szCs w:val="24"/>
    </w:rPr>
  </w:style>
  <w:style w:type="paragraph" w:styleId="68">
    <w:name w:val="HTML Preformatted"/>
    <w:basedOn w:val="1"/>
    <w:link w:val="171"/>
    <w:semiHidden/>
    <w:qFormat/>
    <w:uiPriority w:val="99"/>
    <w:pPr>
      <w:spacing w:after="200" w:line="276" w:lineRule="auto"/>
      <w:jc w:val="left"/>
    </w:pPr>
    <w:rPr>
      <w:rFonts w:ascii="Courier New" w:hAnsi="Courier New"/>
      <w:kern w:val="0"/>
      <w:sz w:val="20"/>
      <w:szCs w:val="20"/>
    </w:rPr>
  </w:style>
  <w:style w:type="paragraph" w:styleId="6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0">
    <w:name w:val="List Continue 3"/>
    <w:basedOn w:val="1"/>
    <w:qFormat/>
    <w:uiPriority w:val="99"/>
    <w:pPr>
      <w:spacing w:after="120"/>
      <w:ind w:left="1260" w:leftChars="600"/>
    </w:pPr>
  </w:style>
  <w:style w:type="paragraph" w:styleId="71">
    <w:name w:val="index 1"/>
    <w:basedOn w:val="1"/>
    <w:next w:val="1"/>
    <w:qFormat/>
    <w:locked/>
    <w:uiPriority w:val="0"/>
    <w:rPr>
      <w:sz w:val="24"/>
      <w:szCs w:val="24"/>
    </w:rPr>
  </w:style>
  <w:style w:type="paragraph" w:styleId="72">
    <w:name w:val="Title"/>
    <w:basedOn w:val="1"/>
    <w:link w:val="172"/>
    <w:qFormat/>
    <w:uiPriority w:val="0"/>
    <w:pPr>
      <w:numPr>
        <w:ilvl w:val="0"/>
        <w:numId w:val="3"/>
      </w:numPr>
      <w:spacing w:before="240" w:after="60" w:line="276" w:lineRule="auto"/>
      <w:jc w:val="center"/>
      <w:outlineLvl w:val="0"/>
    </w:pPr>
    <w:rPr>
      <w:b/>
      <w:bCs/>
      <w:kern w:val="0"/>
      <w:sz w:val="32"/>
      <w:szCs w:val="32"/>
    </w:rPr>
  </w:style>
  <w:style w:type="paragraph" w:styleId="73">
    <w:name w:val="annotation subject"/>
    <w:basedOn w:val="25"/>
    <w:next w:val="25"/>
    <w:link w:val="173"/>
    <w:semiHidden/>
    <w:qFormat/>
    <w:uiPriority w:val="99"/>
    <w:pPr>
      <w:spacing w:after="0" w:line="240" w:lineRule="auto"/>
    </w:pPr>
    <w:rPr>
      <w:rFonts w:ascii="Calibri" w:hAnsi="Calibri"/>
      <w:b/>
      <w:bCs/>
      <w:lang w:eastAsia="en-US"/>
    </w:rPr>
  </w:style>
  <w:style w:type="paragraph" w:styleId="74">
    <w:name w:val="Body Text First Indent"/>
    <w:basedOn w:val="30"/>
    <w:link w:val="174"/>
    <w:qFormat/>
    <w:uiPriority w:val="99"/>
    <w:pPr>
      <w:spacing w:line="400" w:lineRule="exact"/>
      <w:ind w:firstLine="200" w:firstLineChars="200"/>
    </w:pPr>
  </w:style>
  <w:style w:type="paragraph" w:styleId="75">
    <w:name w:val="Body Text First Indent 2"/>
    <w:basedOn w:val="31"/>
    <w:link w:val="175"/>
    <w:semiHidden/>
    <w:qFormat/>
    <w:uiPriority w:val="99"/>
    <w:pPr>
      <w:spacing w:after="120" w:line="276" w:lineRule="auto"/>
      <w:ind w:left="420" w:leftChars="200" w:firstLine="420" w:firstLineChars="200"/>
      <w:jc w:val="left"/>
    </w:pPr>
  </w:style>
  <w:style w:type="table" w:styleId="77">
    <w:name w:val="Table Grid"/>
    <w:basedOn w:val="76"/>
    <w:qFormat/>
    <w:uiPriority w:val="5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8">
    <w:name w:val="Table Theme"/>
    <w:basedOn w:val="76"/>
    <w:semiHidden/>
    <w:qFormat/>
    <w:uiPriority w:val="9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9">
    <w:name w:val="Table Colorful 1"/>
    <w:basedOn w:val="76"/>
    <w:semiHidden/>
    <w:qFormat/>
    <w:uiPriority w:val="99"/>
    <w:pPr>
      <w:widowControl w:val="0"/>
      <w:spacing w:after="200" w:line="276" w:lineRule="auto"/>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黑体"/>
        <w:b/>
        <w:bCs/>
        <w:i/>
        <w:iCs/>
      </w:rPr>
      <w:tblPr/>
      <w:tcPr>
        <w:tcBorders>
          <w:top w:val="nil"/>
          <w:left w:val="nil"/>
          <w:bottom w:val="nil"/>
          <w:right w:val="nil"/>
          <w:insideH w:val="nil"/>
          <w:insideV w:val="nil"/>
          <w:tl2br w:val="nil"/>
          <w:tr2bl w:val="nil"/>
        </w:tcBorders>
        <w:shd w:val="solid" w:color="000000" w:fill="FFFFFF"/>
      </w:tcPr>
    </w:tblStylePr>
    <w:tblStylePr w:type="firstCol">
      <w:rPr>
        <w:rFonts w:cs="黑体"/>
        <w:b/>
        <w:bCs/>
        <w:i/>
        <w:iCs/>
      </w:rPr>
      <w:tblPr/>
      <w:tcPr>
        <w:tcBorders>
          <w:top w:val="nil"/>
          <w:left w:val="nil"/>
          <w:bottom w:val="nil"/>
          <w:right w:val="nil"/>
          <w:insideH w:val="nil"/>
          <w:insideV w:val="nil"/>
          <w:tl2br w:val="nil"/>
          <w:tr2bl w:val="nil"/>
        </w:tcBorders>
        <w:shd w:val="solid" w:color="000080" w:fill="FFFFFF"/>
      </w:tcPr>
    </w:tblStylePr>
    <w:tblStylePr w:type="nwCell">
      <w:rPr>
        <w:rFonts w:cs="黑体"/>
      </w:rPr>
      <w:tblPr/>
      <w:tcPr>
        <w:tcBorders>
          <w:top w:val="nil"/>
          <w:left w:val="nil"/>
          <w:bottom w:val="nil"/>
          <w:right w:val="nil"/>
          <w:insideH w:val="nil"/>
          <w:insideV w:val="nil"/>
          <w:tl2br w:val="nil"/>
          <w:tr2bl w:val="nil"/>
        </w:tcBorders>
        <w:shd w:val="solid" w:color="000000" w:fill="FFFFFF"/>
      </w:tcPr>
    </w:tblStylePr>
    <w:tblStylePr w:type="swCell">
      <w:rPr>
        <w:rFonts w:cs="黑体"/>
        <w:b/>
        <w:bCs/>
        <w:i w:val="0"/>
        <w:iCs w:val="0"/>
      </w:rPr>
      <w:tblPr/>
      <w:tcPr>
        <w:tcBorders>
          <w:top w:val="nil"/>
          <w:left w:val="nil"/>
          <w:bottom w:val="nil"/>
          <w:right w:val="nil"/>
          <w:insideH w:val="nil"/>
          <w:insideV w:val="nil"/>
          <w:tl2br w:val="nil"/>
          <w:tr2bl w:val="nil"/>
        </w:tcBorders>
      </w:tcPr>
    </w:tblStylePr>
  </w:style>
  <w:style w:type="table" w:styleId="80">
    <w:name w:val="Table Colorful 2"/>
    <w:basedOn w:val="76"/>
    <w:semiHidden/>
    <w:qFormat/>
    <w:uiPriority w:val="99"/>
    <w:pPr>
      <w:widowControl w:val="0"/>
      <w:spacing w:after="200" w:line="276" w:lineRule="auto"/>
    </w:pPr>
    <w:rPr>
      <w:rFonts w:ascii="Calibri" w:hAnsi="Calibri" w:cs="Calibri"/>
    </w:rPr>
    <w:tblPr>
      <w:tblBorders>
        <w:bottom w:val="single" w:color="000000" w:sz="12" w:space="0"/>
      </w:tblBorders>
    </w:tblPr>
    <w:tcPr>
      <w:shd w:val="pct20" w:color="FFFF00" w:fill="FFFFFF"/>
    </w:tcPr>
    <w:tblStylePr w:type="firstRow">
      <w:rPr>
        <w:rFonts w:cs="黑体"/>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rFonts w:cs="黑体"/>
        <w:b/>
        <w:bCs/>
        <w:i/>
        <w:iCs/>
      </w:rPr>
      <w:tblPr/>
      <w:tcPr>
        <w:tcBorders>
          <w:top w:val="nil"/>
          <w:left w:val="nil"/>
          <w:bottom w:val="nil"/>
          <w:right w:val="nil"/>
          <w:insideH w:val="nil"/>
          <w:insideV w:val="nil"/>
          <w:tl2br w:val="nil"/>
          <w:tr2bl w:val="nil"/>
        </w:tcBorders>
      </w:tcPr>
    </w:tblStylePr>
    <w:tblStylePr w:type="lastCol">
      <w:rPr>
        <w:rFonts w:cs="黑体"/>
      </w:rPr>
      <w:tblPr/>
      <w:tcPr>
        <w:tcBorders>
          <w:top w:val="nil"/>
          <w:left w:val="nil"/>
          <w:bottom w:val="nil"/>
          <w:right w:val="nil"/>
          <w:insideH w:val="nil"/>
          <w:insideV w:val="nil"/>
          <w:tl2br w:val="nil"/>
          <w:tr2bl w:val="nil"/>
        </w:tcBorders>
        <w:shd w:val="solid" w:color="C0C0C0" w:fill="FFFFFF"/>
      </w:tcPr>
    </w:tblStylePr>
    <w:tblStylePr w:type="swCell">
      <w:rPr>
        <w:rFonts w:cs="黑体"/>
        <w:b/>
        <w:bCs/>
        <w:i w:val="0"/>
        <w:iCs w:val="0"/>
      </w:rPr>
      <w:tblPr/>
      <w:tcPr>
        <w:tcBorders>
          <w:top w:val="nil"/>
          <w:left w:val="nil"/>
          <w:bottom w:val="nil"/>
          <w:right w:val="nil"/>
          <w:insideH w:val="nil"/>
          <w:insideV w:val="nil"/>
          <w:tl2br w:val="nil"/>
          <w:tr2bl w:val="nil"/>
        </w:tcBorders>
      </w:tcPr>
    </w:tblStylePr>
  </w:style>
  <w:style w:type="table" w:styleId="81">
    <w:name w:val="Table Colorful 3"/>
    <w:basedOn w:val="76"/>
    <w:semiHidden/>
    <w:qFormat/>
    <w:uiPriority w:val="99"/>
    <w:pPr>
      <w:widowControl w:val="0"/>
      <w:spacing w:after="200" w:line="276" w:lineRule="auto"/>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黑体"/>
      </w:rPr>
      <w:tblPr/>
      <w:tcPr>
        <w:tcBorders>
          <w:top w:val="nil"/>
          <w:left w:val="nil"/>
          <w:bottom w:val="single" w:color="000000" w:sz="6" w:space="0"/>
          <w:right w:val="nil"/>
          <w:insideH w:val="nil"/>
          <w:insideV w:val="nil"/>
          <w:tl2br w:val="nil"/>
          <w:tr2bl w:val="nil"/>
        </w:tcBorders>
        <w:shd w:val="solid" w:color="008080" w:fill="FFFFFF"/>
      </w:tcPr>
    </w:tblStylePr>
    <w:tblStylePr w:type="firstCol">
      <w:rPr>
        <w:rFonts w:cs="黑体"/>
      </w:rPr>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rFonts w:cs="黑体"/>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Elegant"/>
    <w:basedOn w:val="76"/>
    <w:semiHidden/>
    <w:qFormat/>
    <w:uiPriority w:val="99"/>
    <w:pPr>
      <w:widowControl w:val="0"/>
      <w:spacing w:after="200" w:line="276" w:lineRule="auto"/>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黑体"/>
        <w:caps/>
        <w:color w:val="auto"/>
      </w:rPr>
      <w:tblPr/>
      <w:tcPr>
        <w:tcBorders>
          <w:top w:val="nil"/>
          <w:left w:val="nil"/>
          <w:bottom w:val="nil"/>
          <w:right w:val="nil"/>
          <w:insideH w:val="nil"/>
          <w:insideV w:val="nil"/>
          <w:tl2br w:val="nil"/>
          <w:tr2bl w:val="nil"/>
        </w:tcBorders>
      </w:tcPr>
    </w:tblStylePr>
  </w:style>
  <w:style w:type="table" w:styleId="83">
    <w:name w:val="Table Classic 1"/>
    <w:basedOn w:val="76"/>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黑体"/>
        <w:i/>
        <w:iCs/>
      </w:rPr>
      <w:tblPr/>
      <w:tcPr>
        <w:tcBorders>
          <w:top w:val="nil"/>
          <w:left w:val="nil"/>
          <w:bottom w:val="single" w:color="000000" w:sz="6" w:space="0"/>
          <w:right w:val="nil"/>
          <w:insideH w:val="nil"/>
          <w:insideV w:val="nil"/>
          <w:tl2br w:val="nil"/>
          <w:tr2bl w:val="nil"/>
        </w:tcBorders>
      </w:tcPr>
    </w:tblStylePr>
    <w:tblStylePr w:type="lastRow">
      <w:rPr>
        <w:rFonts w:cs="黑体"/>
        <w:color w:val="auto"/>
      </w:rPr>
      <w:tblPr/>
      <w:tcPr>
        <w:tcBorders>
          <w:top w:val="single" w:color="000000" w:sz="6" w:space="0"/>
          <w:left w:val="nil"/>
          <w:bottom w:val="nil"/>
          <w:right w:val="nil"/>
          <w:insideH w:val="nil"/>
          <w:insideV w:val="nil"/>
          <w:tl2br w:val="nil"/>
          <w:tr2bl w:val="nil"/>
        </w:tcBorders>
      </w:tcPr>
    </w:tblStylePr>
    <w:tblStylePr w:type="firstCol">
      <w:rPr>
        <w:rFonts w:cs="黑体"/>
      </w:rPr>
      <w:tblPr/>
      <w:tcPr>
        <w:tcBorders>
          <w:top w:val="nil"/>
          <w:left w:val="nil"/>
          <w:bottom w:val="nil"/>
          <w:right w:val="single" w:color="000000" w:sz="6" w:space="0"/>
          <w:insideH w:val="nil"/>
          <w:insideV w:val="nil"/>
          <w:tl2br w:val="nil"/>
          <w:tr2bl w:val="nil"/>
        </w:tcBorders>
      </w:tcPr>
    </w:tblStylePr>
    <w:tblStylePr w:type="neCell">
      <w:rPr>
        <w:rFonts w:cs="黑体"/>
        <w:b/>
        <w:bCs/>
        <w:i w:val="0"/>
        <w:iCs w:val="0"/>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84">
    <w:name w:val="Table Classic 2"/>
    <w:basedOn w:val="76"/>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黑体"/>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rPr>
        <w:rFonts w:cs="黑体"/>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shd w:val="solid" w:color="C0C0C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nil"/>
          <w:tr2bl w:val="nil"/>
        </w:tcBorders>
        <w:shd w:val="solid" w:color="800080" w:fill="FFFFFF"/>
      </w:tcPr>
    </w:tblStylePr>
    <w:tblStylePr w:type="swCell">
      <w:rPr>
        <w:rFonts w:cs="黑体"/>
        <w:color w:val="000080"/>
      </w:rPr>
      <w:tblPr/>
      <w:tcPr>
        <w:tcBorders>
          <w:top w:val="nil"/>
          <w:left w:val="nil"/>
          <w:bottom w:val="nil"/>
          <w:right w:val="nil"/>
          <w:insideH w:val="nil"/>
          <w:insideV w:val="nil"/>
          <w:tl2br w:val="nil"/>
          <w:tr2bl w:val="nil"/>
        </w:tcBorders>
      </w:tcPr>
    </w:tblStylePr>
  </w:style>
  <w:style w:type="table" w:styleId="85">
    <w:name w:val="Table Classic 3"/>
    <w:basedOn w:val="76"/>
    <w:semiHidden/>
    <w:qFormat/>
    <w:uiPriority w:val="99"/>
    <w:pPr>
      <w:widowControl w:val="0"/>
      <w:spacing w:after="200" w:line="276" w:lineRule="auto"/>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黑体"/>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rFonts w:cs="黑体"/>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黑体"/>
        <w:b/>
        <w:bCs/>
        <w:color w:val="000000"/>
      </w:rPr>
      <w:tblPr/>
      <w:tcPr>
        <w:tcBorders>
          <w:top w:val="nil"/>
          <w:left w:val="nil"/>
          <w:bottom w:val="nil"/>
          <w:right w:val="nil"/>
          <w:insideH w:val="nil"/>
          <w:insideV w:val="nil"/>
          <w:tl2br w:val="nil"/>
          <w:tr2bl w:val="nil"/>
        </w:tcBorders>
      </w:tcPr>
    </w:tblStylePr>
  </w:style>
  <w:style w:type="table" w:styleId="86">
    <w:name w:val="Table Classic 4"/>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rFonts w:cs="黑体"/>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rFonts w:cs="黑体"/>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rFonts w:cs="黑体"/>
        <w:b/>
        <w:bCs/>
      </w:rPr>
      <w:tblPr/>
      <w:tcPr>
        <w:tcBorders>
          <w:top w:val="nil"/>
          <w:left w:val="nil"/>
          <w:bottom w:val="nil"/>
          <w:right w:val="nil"/>
          <w:insideH w:val="nil"/>
          <w:insideV w:val="nil"/>
          <w:tl2br w:val="nil"/>
          <w:tr2bl w:val="nil"/>
        </w:tcBorders>
      </w:tcPr>
    </w:tblStylePr>
    <w:tblStylePr w:type="nwCell">
      <w:rPr>
        <w:rFonts w:cs="黑体"/>
        <w:b/>
        <w:bCs/>
      </w:rPr>
      <w:tblPr/>
      <w:tcPr>
        <w:tcBorders>
          <w:top w:val="nil"/>
          <w:left w:val="nil"/>
          <w:bottom w:val="nil"/>
          <w:right w:val="nil"/>
          <w:insideH w:val="nil"/>
          <w:insideV w:val="nil"/>
          <w:tl2br w:val="nil"/>
          <w:tr2bl w:val="nil"/>
        </w:tcBorders>
      </w:tcPr>
    </w:tblStylePr>
    <w:tblStylePr w:type="swCell">
      <w:rPr>
        <w:rFonts w:cs="黑体"/>
        <w:color w:val="000080"/>
      </w:rPr>
      <w:tblPr/>
      <w:tcPr>
        <w:tcBorders>
          <w:top w:val="nil"/>
          <w:left w:val="nil"/>
          <w:bottom w:val="nil"/>
          <w:right w:val="nil"/>
          <w:insideH w:val="nil"/>
          <w:insideV w:val="nil"/>
          <w:tl2br w:val="nil"/>
          <w:tr2bl w:val="nil"/>
        </w:tcBorders>
      </w:tcPr>
    </w:tblStylePr>
  </w:style>
  <w:style w:type="table" w:styleId="87">
    <w:name w:val="Table Simple 1"/>
    <w:basedOn w:val="76"/>
    <w:semiHidden/>
    <w:qFormat/>
    <w:uiPriority w:val="99"/>
    <w:pPr>
      <w:widowControl w:val="0"/>
      <w:spacing w:after="200" w:line="276" w:lineRule="auto"/>
    </w:pPr>
    <w:rPr>
      <w:rFonts w:ascii="Calibri" w:hAnsi="Calibri" w:cs="Calibri"/>
    </w:rPr>
    <w:tblPr>
      <w:tblBorders>
        <w:top w:val="single" w:color="008000" w:sz="12" w:space="0"/>
        <w:bottom w:val="single" w:color="008000" w:sz="12" w:space="0"/>
      </w:tblBorders>
    </w:tblPr>
    <w:tblStylePr w:type="firstRow">
      <w:rPr>
        <w:rFonts w:cs="黑体"/>
      </w:rPr>
      <w:tblPr/>
      <w:tcPr>
        <w:tcBorders>
          <w:top w:val="nil"/>
          <w:left w:val="nil"/>
          <w:bottom w:val="single" w:color="008000" w:sz="6" w:space="0"/>
          <w:right w:val="nil"/>
          <w:insideH w:val="nil"/>
          <w:insideV w:val="nil"/>
          <w:tl2br w:val="nil"/>
          <w:tr2bl w:val="nil"/>
        </w:tcBorders>
      </w:tcPr>
    </w:tblStylePr>
    <w:tblStylePr w:type="lastRow">
      <w:rPr>
        <w:rFonts w:cs="黑体"/>
      </w:rPr>
      <w:tblPr/>
      <w:tcPr>
        <w:tcBorders>
          <w:top w:val="single" w:color="008000" w:sz="6" w:space="0"/>
          <w:left w:val="nil"/>
          <w:bottom w:val="nil"/>
          <w:right w:val="nil"/>
          <w:insideH w:val="nil"/>
          <w:insideV w:val="nil"/>
          <w:tl2br w:val="nil"/>
          <w:tr2bl w:val="nil"/>
        </w:tcBorders>
      </w:tcPr>
    </w:tblStylePr>
  </w:style>
  <w:style w:type="table" w:styleId="88">
    <w:name w:val="Table Simple 2"/>
    <w:basedOn w:val="76"/>
    <w:semiHidden/>
    <w:qFormat/>
    <w:uiPriority w:val="99"/>
    <w:pPr>
      <w:widowControl w:val="0"/>
      <w:spacing w:after="200" w:line="276" w:lineRule="auto"/>
    </w:pPr>
    <w:rPr>
      <w:rFonts w:ascii="Calibri" w:hAnsi="Calibri" w:cs="Calibri"/>
    </w:rPr>
    <w:tblPr/>
    <w:tblStylePr w:type="firstRow">
      <w:rPr>
        <w:rFonts w:cs="黑体"/>
        <w:b/>
        <w:bCs/>
      </w:rPr>
      <w:tblPr/>
      <w:tcPr>
        <w:tcBorders>
          <w:top w:val="nil"/>
          <w:left w:val="nil"/>
          <w:bottom w:val="single" w:color="000000" w:sz="12" w:space="0"/>
          <w:right w:val="nil"/>
          <w:insideH w:val="nil"/>
          <w:insideV w:val="nil"/>
          <w:tl2br w:val="nil"/>
          <w:tr2bl w:val="nil"/>
        </w:tcBorders>
      </w:tcPr>
    </w:tblStylePr>
    <w:tblStylePr w:type="lastRow">
      <w:rPr>
        <w:rFonts w:cs="黑体"/>
        <w:b/>
        <w:bCs/>
        <w:color w:val="auto"/>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single" w:color="000000" w:sz="12" w:space="0"/>
          <w:insideH w:val="nil"/>
          <w:insideV w:val="nil"/>
          <w:tl2br w:val="nil"/>
          <w:tr2bl w:val="nil"/>
        </w:tcBorders>
      </w:tcPr>
    </w:tblStylePr>
    <w:tblStylePr w:type="lastCol">
      <w:rPr>
        <w:rFonts w:cs="黑体"/>
        <w:b/>
        <w:bCs/>
      </w:rPr>
      <w:tblPr/>
      <w:tcPr>
        <w:tcBorders>
          <w:top w:val="nil"/>
          <w:left w:val="single" w:color="000000" w:sz="6" w:space="0"/>
          <w:bottom w:val="nil"/>
          <w:right w:val="nil"/>
          <w:insideH w:val="nil"/>
          <w:insideV w:val="nil"/>
          <w:tl2br w:val="nil"/>
          <w:tr2bl w:val="nil"/>
        </w:tcBorders>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89">
    <w:name w:val="Table Simple 3"/>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rFonts w:cs="黑体"/>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0">
    <w:name w:val="Table Subtle 1"/>
    <w:basedOn w:val="76"/>
    <w:semiHidden/>
    <w:qFormat/>
    <w:uiPriority w:val="99"/>
    <w:pPr>
      <w:widowControl w:val="0"/>
      <w:spacing w:after="200" w:line="276" w:lineRule="auto"/>
    </w:pPr>
    <w:rPr>
      <w:rFonts w:ascii="Calibri" w:hAnsi="Calibri" w:cs="Calibri"/>
    </w:rPr>
    <w:tblPr>
      <w:tblStyleRowBandSize w:val="1"/>
    </w:tblPr>
    <w:tblStylePr w:type="firstRow">
      <w:rPr>
        <w:rFonts w:cs="黑体"/>
      </w:rPr>
      <w:tblPr/>
      <w:tcPr>
        <w:tcBorders>
          <w:top w:val="single" w:color="000000" w:sz="6" w:space="0"/>
          <w:left w:val="nil"/>
          <w:bottom w:val="single" w:color="000000" w:sz="12" w:space="0"/>
          <w:right w:val="nil"/>
          <w:insideH w:val="nil"/>
          <w:insideV w:val="nil"/>
          <w:tl2br w:val="nil"/>
          <w:tr2bl w:val="nil"/>
        </w:tcBorders>
      </w:tcPr>
    </w:tblStylePr>
    <w:tblStylePr w:type="lastRow">
      <w:rPr>
        <w:rFonts w:cs="黑体"/>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黑体"/>
      </w:rPr>
      <w:tblPr/>
      <w:tcPr>
        <w:tcBorders>
          <w:top w:val="nil"/>
          <w:left w:val="nil"/>
          <w:bottom w:val="nil"/>
          <w:right w:val="single" w:color="000000" w:sz="12" w:space="0"/>
          <w:insideH w:val="nil"/>
          <w:insideV w:val="nil"/>
          <w:tl2br w:val="nil"/>
          <w:tr2bl w:val="nil"/>
        </w:tcBorders>
      </w:tcPr>
    </w:tblStylePr>
    <w:tblStylePr w:type="lastCol">
      <w:rPr>
        <w:rFonts w:cs="黑体"/>
      </w:rPr>
      <w:tblPr/>
      <w:tcPr>
        <w:tcBorders>
          <w:top w:val="nil"/>
          <w:left w:val="single" w:color="000000" w:sz="12" w:space="0"/>
          <w:bottom w:val="nil"/>
          <w:right w:val="nil"/>
          <w:insideH w:val="nil"/>
          <w:insideV w:val="nil"/>
          <w:tl2br w:val="nil"/>
          <w:tr2bl w:val="nil"/>
        </w:tcBorders>
      </w:tcPr>
    </w:tblStylePr>
    <w:tblStylePr w:type="band1Horz">
      <w:rPr>
        <w:rFonts w:cs="黑体"/>
      </w:rPr>
      <w:tblPr/>
      <w:tcPr>
        <w:tcBorders>
          <w:top w:val="nil"/>
          <w:left w:val="nil"/>
          <w:bottom w:val="single" w:color="000000" w:sz="6" w:space="0"/>
          <w:right w:val="nil"/>
          <w:insideH w:val="nil"/>
          <w:insideV w:val="nil"/>
          <w:tl2br w:val="nil"/>
          <w:tr2bl w:val="nil"/>
        </w:tcBorders>
        <w:shd w:val="pct25" w:color="80800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1">
    <w:name w:val="Table Subtle 2"/>
    <w:basedOn w:val="76"/>
    <w:semiHidden/>
    <w:qFormat/>
    <w:uiPriority w:val="99"/>
    <w:pPr>
      <w:widowControl w:val="0"/>
      <w:spacing w:after="200" w:line="276" w:lineRule="auto"/>
    </w:pPr>
    <w:rPr>
      <w:rFonts w:ascii="Calibri" w:hAnsi="Calibri" w:cs="Calibri"/>
    </w:rPr>
    <w:tblPr>
      <w:tblBorders>
        <w:left w:val="single" w:color="000000" w:sz="6" w:space="0"/>
        <w:right w:val="single" w:color="000000" w:sz="6" w:space="0"/>
      </w:tblBorders>
    </w:tblPr>
    <w:tblStylePr w:type="firstRow">
      <w:rPr>
        <w:rFonts w:cs="黑体"/>
      </w:rPr>
      <w:tblPr/>
      <w:tcPr>
        <w:tcBorders>
          <w:top w:val="nil"/>
          <w:left w:val="nil"/>
          <w:bottom w:val="single" w:color="000000" w:sz="12" w:space="0"/>
          <w:right w:val="nil"/>
          <w:insideH w:val="nil"/>
          <w:insideV w:val="nil"/>
          <w:tl2br w:val="nil"/>
          <w:tr2bl w:val="nil"/>
        </w:tcBorders>
      </w:tcPr>
    </w:tblStylePr>
    <w:tblStylePr w:type="lastRow">
      <w:rPr>
        <w:rFonts w:cs="黑体"/>
      </w:rPr>
      <w:tblPr/>
      <w:tcPr>
        <w:tcBorders>
          <w:top w:val="single" w:color="000000" w:sz="12" w:space="0"/>
          <w:left w:val="nil"/>
          <w:bottom w:val="nil"/>
          <w:right w:val="nil"/>
          <w:insideH w:val="nil"/>
          <w:insideV w:val="nil"/>
          <w:tl2br w:val="nil"/>
          <w:tr2bl w:val="nil"/>
        </w:tcBorders>
      </w:tcPr>
    </w:tblStylePr>
    <w:tblStylePr w:type="firstCol">
      <w:rPr>
        <w:rFonts w:cs="黑体"/>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黑体"/>
      </w:rPr>
      <w:tblPr/>
      <w:tcPr>
        <w:tcBorders>
          <w:top w:val="nil"/>
          <w:left w:val="single" w:color="000000" w:sz="12" w:space="0"/>
          <w:bottom w:val="nil"/>
          <w:right w:val="nil"/>
          <w:insideH w:val="nil"/>
          <w:insideV w:val="nil"/>
          <w:tl2br w:val="nil"/>
          <w:tr2bl w:val="nil"/>
        </w:tcBorders>
        <w:shd w:val="pct25" w:color="80800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2">
    <w:name w:val="Table 3D effects 1"/>
    <w:basedOn w:val="76"/>
    <w:semiHidden/>
    <w:qFormat/>
    <w:uiPriority w:val="99"/>
    <w:pPr>
      <w:widowControl w:val="0"/>
      <w:spacing w:after="200" w:line="276" w:lineRule="auto"/>
    </w:pPr>
    <w:rPr>
      <w:rFonts w:ascii="Calibri" w:hAnsi="Calibri" w:cs="Calibri"/>
    </w:rPr>
    <w:tblPr/>
    <w:tcPr>
      <w:shd w:val="solid" w:color="C0C0C0" w:fill="FFFFFF"/>
    </w:tcPr>
    <w:tblStylePr w:type="firstRow">
      <w:rPr>
        <w:rFonts w:cs="黑体"/>
        <w:b/>
        <w:bCs/>
        <w:color w:val="800080"/>
      </w:rPr>
      <w:tblPr/>
      <w:tcPr>
        <w:tcBorders>
          <w:top w:val="nil"/>
          <w:left w:val="nil"/>
          <w:bottom w:val="single" w:color="808080" w:sz="6" w:space="0"/>
          <w:right w:val="nil"/>
          <w:insideH w:val="nil"/>
          <w:insideV w:val="nil"/>
          <w:tl2br w:val="nil"/>
          <w:tr2bl w:val="nil"/>
        </w:tcBorders>
      </w:tcPr>
    </w:tblStylePr>
    <w:tblStylePr w:type="lastRow">
      <w:rPr>
        <w:rFonts w:cs="黑体"/>
      </w:rPr>
      <w:tblPr/>
      <w:tcPr>
        <w:tcBorders>
          <w:top w:val="single" w:color="FFFFFF"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single" w:color="808080" w:sz="6" w:space="0"/>
          <w:insideH w:val="nil"/>
          <w:insideV w:val="nil"/>
          <w:tl2br w:val="nil"/>
          <w:tr2bl w:val="nil"/>
        </w:tcBorders>
      </w:tcPr>
    </w:tblStylePr>
    <w:tblStylePr w:type="lastCol">
      <w:rPr>
        <w:rFonts w:cs="黑体"/>
      </w:rPr>
      <w:tblPr/>
      <w:tcPr>
        <w:tcBorders>
          <w:top w:val="nil"/>
          <w:left w:val="single" w:color="FFFFFF" w:sz="6" w:space="0"/>
          <w:bottom w:val="nil"/>
          <w:right w:val="nil"/>
          <w:insideH w:val="nil"/>
          <w:insideV w:val="nil"/>
          <w:tl2br w:val="nil"/>
          <w:tr2bl w:val="nil"/>
        </w:tcBorders>
      </w:tcPr>
    </w:tblStylePr>
    <w:tblStylePr w:type="neCell">
      <w:rPr>
        <w:rFonts w:cs="黑体"/>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nil"/>
          <w:tr2bl w:val="nil"/>
        </w:tcBorders>
      </w:tcPr>
    </w:tblStylePr>
    <w:tblStylePr w:type="seCell">
      <w:rPr>
        <w:rFonts w:cs="黑体"/>
      </w:rPr>
      <w:tblPr/>
      <w:tcPr>
        <w:tcBorders>
          <w:top w:val="nil"/>
          <w:left w:val="nil"/>
          <w:bottom w:val="nil"/>
          <w:right w:val="nil"/>
          <w:insideH w:val="nil"/>
          <w:insideV w:val="nil"/>
          <w:tl2br w:val="nil"/>
          <w:tr2bl w:val="nil"/>
        </w:tcBorders>
      </w:tcPr>
    </w:tblStylePr>
    <w:tblStylePr w:type="swCell">
      <w:rPr>
        <w:rFonts w:cs="黑体"/>
        <w:color w:val="000080"/>
      </w:rPr>
      <w:tblPr/>
      <w:tcPr>
        <w:tcBorders>
          <w:top w:val="nil"/>
          <w:left w:val="nil"/>
          <w:bottom w:val="nil"/>
          <w:right w:val="nil"/>
          <w:insideH w:val="nil"/>
          <w:insideV w:val="nil"/>
          <w:tl2br w:val="nil"/>
          <w:tr2bl w:val="nil"/>
        </w:tcBorders>
      </w:tcPr>
    </w:tblStylePr>
  </w:style>
  <w:style w:type="table" w:styleId="93">
    <w:name w:val="Table 3D effects 2"/>
    <w:basedOn w:val="76"/>
    <w:semiHidden/>
    <w:qFormat/>
    <w:uiPriority w:val="99"/>
    <w:pPr>
      <w:widowControl w:val="0"/>
      <w:spacing w:after="200" w:line="276" w:lineRule="auto"/>
    </w:pPr>
    <w:rPr>
      <w:rFonts w:ascii="Calibri" w:hAnsi="Calibri" w:cs="Calibri"/>
    </w:rPr>
    <w:tblPr>
      <w:tblStyleRowBandSize w:val="1"/>
    </w:tblPr>
    <w:tcPr>
      <w:shd w:val="solid" w:color="C0C0C0" w:fill="FFFFFF"/>
    </w:tcPr>
    <w:tblStylePr w:type="firstRow">
      <w:rPr>
        <w:rFonts w:cs="黑体"/>
        <w:b/>
        <w:bCs/>
      </w:rPr>
      <w:tblPr/>
      <w:tcPr>
        <w:tcBorders>
          <w:top w:val="nil"/>
          <w:left w:val="nil"/>
          <w:bottom w:val="nil"/>
          <w:right w:val="nil"/>
          <w:insideH w:val="nil"/>
          <w:insideV w:val="nil"/>
          <w:tl2br w:val="nil"/>
          <w:tr2bl w:val="nil"/>
        </w:tcBorders>
      </w:tcPr>
    </w:tblStylePr>
    <w:tblStylePr w:type="firstCol">
      <w:rPr>
        <w:rFonts w:cs="黑体"/>
      </w:rPr>
      <w:tblPr/>
      <w:tcPr>
        <w:tcBorders>
          <w:top w:val="nil"/>
          <w:left w:val="nil"/>
          <w:bottom w:val="nil"/>
          <w:right w:val="single" w:color="808080" w:sz="6" w:space="0"/>
          <w:insideH w:val="nil"/>
          <w:insideV w:val="nil"/>
          <w:tl2br w:val="nil"/>
          <w:tr2bl w:val="nil"/>
        </w:tcBorders>
      </w:tcPr>
    </w:tblStylePr>
    <w:tblStylePr w:type="lastCol">
      <w:rPr>
        <w:rFonts w:cs="黑体"/>
      </w:rPr>
      <w:tblPr/>
      <w:tcPr>
        <w:tcBorders>
          <w:top w:val="nil"/>
          <w:left w:val="nil"/>
          <w:bottom w:val="nil"/>
          <w:right w:val="single" w:color="FFFFFF" w:sz="6" w:space="0"/>
          <w:insideH w:val="nil"/>
          <w:insideV w:val="nil"/>
          <w:tl2br w:val="nil"/>
          <w:tr2bl w:val="nil"/>
        </w:tcBorders>
      </w:tcPr>
    </w:tblStylePr>
    <w:tblStylePr w:type="band1Horz">
      <w:rPr>
        <w:rFonts w:cs="黑体"/>
      </w:rPr>
      <w:tblPr/>
      <w:tcPr>
        <w:tcBorders>
          <w:top w:val="single" w:color="808080" w:sz="6" w:space="0"/>
          <w:left w:val="nil"/>
          <w:bottom w:val="single" w:color="FFFFFF" w:sz="6" w:space="0"/>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4">
    <w:name w:val="Table 3D effects 3"/>
    <w:basedOn w:val="76"/>
    <w:semiHidden/>
    <w:qFormat/>
    <w:uiPriority w:val="99"/>
    <w:pPr>
      <w:widowControl w:val="0"/>
      <w:spacing w:after="200" w:line="276" w:lineRule="auto"/>
    </w:pPr>
    <w:rPr>
      <w:rFonts w:ascii="Calibri" w:hAnsi="Calibri" w:cs="Calibri"/>
    </w:rPr>
    <w:tblPr>
      <w:tblStyleRowBandSize w:val="1"/>
      <w:tblStyleColBandSize w:val="1"/>
    </w:tblPr>
    <w:tblStylePr w:type="firstRow">
      <w:rPr>
        <w:rFonts w:cs="黑体"/>
        <w:b/>
        <w:bCs/>
      </w:rPr>
      <w:tblPr/>
      <w:tcPr>
        <w:tcBorders>
          <w:top w:val="nil"/>
          <w:left w:val="nil"/>
          <w:bottom w:val="nil"/>
          <w:right w:val="nil"/>
          <w:insideH w:val="nil"/>
          <w:insideV w:val="nil"/>
          <w:tl2br w:val="nil"/>
          <w:tr2bl w:val="nil"/>
        </w:tcBorders>
      </w:tcPr>
    </w:tblStylePr>
    <w:tblStylePr w:type="firstCol">
      <w:rPr>
        <w:rFonts w:cs="黑体"/>
      </w:rPr>
      <w:tblPr/>
      <w:tcPr>
        <w:tcBorders>
          <w:top w:val="nil"/>
          <w:left w:val="nil"/>
          <w:bottom w:val="nil"/>
          <w:right w:val="single" w:color="808080" w:sz="6" w:space="0"/>
          <w:insideH w:val="nil"/>
          <w:insideV w:val="nil"/>
          <w:tl2br w:val="nil"/>
          <w:tr2bl w:val="nil"/>
        </w:tcBorders>
      </w:tcPr>
    </w:tblStylePr>
    <w:tblStylePr w:type="lastCol">
      <w:rPr>
        <w:rFonts w:cs="黑体"/>
      </w:rPr>
      <w:tblPr/>
      <w:tcPr>
        <w:tcBorders>
          <w:top w:val="nil"/>
          <w:left w:val="nil"/>
          <w:bottom w:val="nil"/>
          <w:right w:val="single" w:color="FFFFFF" w:sz="6" w:space="0"/>
          <w:insideH w:val="nil"/>
          <w:insideV w:val="nil"/>
          <w:tl2br w:val="nil"/>
          <w:tr2bl w:val="nil"/>
        </w:tcBorders>
      </w:tcPr>
    </w:tblStylePr>
    <w:tblStylePr w:type="band1Vert">
      <w:rPr>
        <w:rFonts w:cs="黑体"/>
        <w:color w:val="auto"/>
      </w:rPr>
      <w:tblPr/>
      <w:tcPr>
        <w:shd w:val="solid" w:color="C0C0C0" w:fill="FFFFFF"/>
      </w:tcPr>
    </w:tblStylePr>
    <w:tblStylePr w:type="band2Vert">
      <w:rPr>
        <w:rFonts w:cs="黑体"/>
        <w:color w:val="auto"/>
      </w:rPr>
      <w:tblPr/>
      <w:tcPr>
        <w:shd w:val="pct50" w:color="C0C0C0" w:fill="FFFFFF"/>
      </w:tcPr>
    </w:tblStylePr>
    <w:tblStylePr w:type="band1Horz">
      <w:rPr>
        <w:rFonts w:cs="黑体"/>
      </w:rPr>
      <w:tblPr/>
      <w:tcPr>
        <w:tcBorders>
          <w:top w:val="single" w:color="808080" w:sz="6" w:space="0"/>
          <w:left w:val="nil"/>
          <w:bottom w:val="single" w:color="FFFFFF" w:sz="6" w:space="0"/>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5">
    <w:name w:val="Table List 1"/>
    <w:basedOn w:val="76"/>
    <w:semiHidden/>
    <w:qFormat/>
    <w:uiPriority w:val="99"/>
    <w:pPr>
      <w:widowControl w:val="0"/>
      <w:spacing w:after="200" w:line="276" w:lineRule="auto"/>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rFonts w:cs="黑体"/>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rPr>
        <w:rFonts w:cs="黑体"/>
      </w:rPr>
      <w:tblPr/>
      <w:tcPr>
        <w:tcBorders>
          <w:top w:val="single" w:color="000000" w:sz="6" w:space="0"/>
          <w:left w:val="nil"/>
          <w:bottom w:val="nil"/>
          <w:right w:val="nil"/>
          <w:insideH w:val="nil"/>
          <w:insideV w:val="nil"/>
          <w:tl2br w:val="nil"/>
          <w:tr2bl w:val="nil"/>
        </w:tcBorders>
      </w:tcPr>
    </w:tblStylePr>
    <w:tblStylePr w:type="band1Horz">
      <w:rPr>
        <w:rFonts w:cs="黑体"/>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黑体"/>
        <w:color w:val="auto"/>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6">
    <w:name w:val="Table List 2"/>
    <w:basedOn w:val="76"/>
    <w:semiHidden/>
    <w:qFormat/>
    <w:uiPriority w:val="99"/>
    <w:pPr>
      <w:widowControl w:val="0"/>
      <w:spacing w:after="200" w:line="276" w:lineRule="auto"/>
    </w:pPr>
    <w:rPr>
      <w:rFonts w:ascii="Calibri" w:hAnsi="Calibri" w:cs="Calibri"/>
    </w:rPr>
    <w:tblPr>
      <w:tblBorders>
        <w:bottom w:val="single" w:color="808080" w:sz="12" w:space="0"/>
      </w:tblBorders>
    </w:tblPr>
    <w:tblStylePr w:type="firstRow">
      <w:rPr>
        <w:rFonts w:cs="黑体"/>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rPr>
        <w:rFonts w:cs="黑体"/>
      </w:rPr>
      <w:tblPr/>
      <w:tcPr>
        <w:tcBorders>
          <w:top w:val="single" w:color="000000" w:sz="6" w:space="0"/>
          <w:left w:val="nil"/>
          <w:bottom w:val="nil"/>
          <w:right w:val="nil"/>
          <w:insideH w:val="nil"/>
          <w:insideV w:val="nil"/>
          <w:tl2br w:val="nil"/>
          <w:tr2bl w:val="nil"/>
        </w:tcBorders>
      </w:tcPr>
    </w:tblStylePr>
    <w:tblStylePr w:type="band1Horz">
      <w:rPr>
        <w:rFonts w:cs="黑体"/>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黑体"/>
        <w:color w:val="auto"/>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7">
    <w:name w:val="Table List 3"/>
    <w:basedOn w:val="76"/>
    <w:semiHidden/>
    <w:qFormat/>
    <w:uiPriority w:val="99"/>
    <w:pPr>
      <w:widowControl w:val="0"/>
      <w:spacing w:after="200" w:line="276" w:lineRule="auto"/>
    </w:pPr>
    <w:rPr>
      <w:rFonts w:ascii="Calibri" w:hAnsi="Calibri" w:cs="Calibri"/>
    </w:rPr>
    <w:tblPr>
      <w:tblBorders>
        <w:top w:val="single" w:color="000000" w:sz="12" w:space="0"/>
        <w:bottom w:val="single" w:color="000000" w:sz="12" w:space="0"/>
        <w:insideH w:val="single" w:color="000000" w:sz="6" w:space="0"/>
      </w:tblBorders>
    </w:tblPr>
    <w:tblStylePr w:type="firstRow">
      <w:rPr>
        <w:rFonts w:cs="黑体"/>
        <w:b/>
        <w:bCs/>
        <w:color w:val="000080"/>
      </w:rPr>
      <w:tblPr/>
      <w:tcPr>
        <w:tcBorders>
          <w:top w:val="nil"/>
          <w:left w:val="nil"/>
          <w:bottom w:val="single" w:color="000000" w:sz="12" w:space="0"/>
          <w:right w:val="nil"/>
          <w:insideH w:val="nil"/>
          <w:insideV w:val="nil"/>
          <w:tl2br w:val="nil"/>
          <w:tr2bl w:val="nil"/>
        </w:tcBorders>
      </w:tcPr>
    </w:tblStylePr>
    <w:tblStylePr w:type="lastRow">
      <w:rPr>
        <w:rFonts w:cs="黑体"/>
      </w:rPr>
      <w:tblPr/>
      <w:tcPr>
        <w:tcBorders>
          <w:top w:val="single" w:color="000000" w:sz="12" w:space="0"/>
          <w:left w:val="nil"/>
          <w:bottom w:val="nil"/>
          <w:right w:val="nil"/>
          <w:insideH w:val="nil"/>
          <w:insideV w:val="nil"/>
          <w:tl2br w:val="nil"/>
          <w:tr2bl w:val="nil"/>
        </w:tcBorders>
      </w:tcPr>
    </w:tblStylePr>
    <w:tblStylePr w:type="swCell">
      <w:rPr>
        <w:rFonts w:cs="黑体"/>
        <w:i/>
        <w:iCs/>
        <w:color w:val="000080"/>
      </w:rPr>
      <w:tblPr/>
      <w:tcPr>
        <w:tcBorders>
          <w:top w:val="nil"/>
          <w:left w:val="nil"/>
          <w:bottom w:val="nil"/>
          <w:right w:val="nil"/>
          <w:insideH w:val="nil"/>
          <w:insideV w:val="nil"/>
          <w:tl2br w:val="nil"/>
          <w:tr2bl w:val="nil"/>
        </w:tcBorders>
      </w:tcPr>
    </w:tblStylePr>
  </w:style>
  <w:style w:type="table" w:styleId="98">
    <w:name w:val="Table List 4"/>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黑体"/>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99">
    <w:name w:val="Table List 5"/>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黑体"/>
        <w:b/>
        <w:bCs/>
      </w:rPr>
      <w:tblPr/>
      <w:tcPr>
        <w:tcBorders>
          <w:top w:val="nil"/>
          <w:left w:val="nil"/>
          <w:bottom w:val="single" w:color="000000" w:sz="12" w:space="0"/>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style>
  <w:style w:type="table" w:styleId="100">
    <w:name w:val="Table List 6"/>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黑体"/>
        <w:b/>
        <w:bCs/>
      </w:rPr>
      <w:tblPr/>
      <w:tcPr>
        <w:tcBorders>
          <w:top w:val="nil"/>
          <w:left w:val="nil"/>
          <w:bottom w:val="single" w:color="000000" w:sz="12" w:space="0"/>
          <w:right w:val="nil"/>
          <w:insideH w:val="nil"/>
          <w:insideV w:val="nil"/>
          <w:tl2br w:val="nil"/>
          <w:tr2bl w:val="nil"/>
        </w:tcBorders>
      </w:tcPr>
    </w:tblStylePr>
    <w:tblStylePr w:type="firstCol">
      <w:rPr>
        <w:rFonts w:cs="黑体"/>
        <w:b/>
        <w:bCs/>
      </w:rPr>
      <w:tblPr/>
      <w:tcPr>
        <w:tcBorders>
          <w:top w:val="nil"/>
          <w:left w:val="nil"/>
          <w:bottom w:val="nil"/>
          <w:right w:val="single" w:color="000000" w:sz="12" w:space="0"/>
          <w:insideH w:val="nil"/>
          <w:insideV w:val="nil"/>
          <w:tl2br w:val="nil"/>
          <w:tr2bl w:val="nil"/>
        </w:tcBorders>
      </w:tcPr>
    </w:tblStylePr>
    <w:tblStylePr w:type="band1Horz">
      <w:rPr>
        <w:rFonts w:cs="黑体"/>
      </w:rPr>
      <w:tblPr/>
      <w:tcPr>
        <w:tcBorders>
          <w:top w:val="nil"/>
          <w:left w:val="nil"/>
          <w:bottom w:val="nil"/>
          <w:right w:val="nil"/>
          <w:insideH w:val="nil"/>
          <w:insideV w:val="nil"/>
          <w:tl2br w:val="nil"/>
          <w:tr2bl w:val="nil"/>
        </w:tcBorders>
        <w:shd w:val="pct25" w:color="000000" w:fill="FFFFFF"/>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01">
    <w:name w:val="Table List 7"/>
    <w:basedOn w:val="76"/>
    <w:semiHidden/>
    <w:qFormat/>
    <w:uiPriority w:val="99"/>
    <w:pPr>
      <w:widowControl w:val="0"/>
      <w:spacing w:after="200" w:line="276" w:lineRule="auto"/>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黑体"/>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rFonts w:cs="黑体"/>
        <w:b/>
        <w:bCs/>
      </w:rPr>
      <w:tblPr/>
      <w:tcPr>
        <w:tcBorders>
          <w:top w:val="single" w:color="008000" w:sz="12"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band1Horz">
      <w:rPr>
        <w:rFonts w:cs="黑体"/>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黑体"/>
      </w:rPr>
      <w:tblPr/>
      <w:tcPr>
        <w:tcBorders>
          <w:top w:val="nil"/>
          <w:left w:val="nil"/>
          <w:bottom w:val="nil"/>
          <w:right w:val="nil"/>
          <w:insideH w:val="nil"/>
          <w:insideV w:val="nil"/>
          <w:tl2br w:val="nil"/>
          <w:tr2bl w:val="nil"/>
        </w:tcBorders>
        <w:shd w:val="pct25" w:color="FFFF00" w:fill="FFFFFF"/>
      </w:tcPr>
    </w:tblStylePr>
  </w:style>
  <w:style w:type="table" w:styleId="102">
    <w:name w:val="Table List 8"/>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黑体"/>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rFonts w:cs="黑体"/>
        <w:b/>
        <w:bCs/>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band1Horz">
      <w:rPr>
        <w:rFonts w:cs="黑体"/>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黑体"/>
      </w:rPr>
      <w:tblPr/>
      <w:tcPr>
        <w:tcBorders>
          <w:top w:val="nil"/>
          <w:left w:val="nil"/>
          <w:bottom w:val="nil"/>
          <w:right w:val="nil"/>
          <w:insideH w:val="nil"/>
          <w:insideV w:val="nil"/>
          <w:tl2br w:val="nil"/>
          <w:tr2bl w:val="nil"/>
        </w:tcBorders>
        <w:shd w:val="pct50" w:color="FF0000" w:fill="FFFFFF"/>
      </w:tcPr>
    </w:tblStylePr>
    <w:tblStylePr w:type="nwCell">
      <w:rPr>
        <w:rFonts w:cs="黑体"/>
      </w:rPr>
      <w:tblPr/>
      <w:tcPr>
        <w:tcBorders>
          <w:top w:val="nil"/>
          <w:left w:val="nil"/>
          <w:bottom w:val="nil"/>
          <w:right w:val="nil"/>
          <w:insideH w:val="nil"/>
          <w:insideV w:val="nil"/>
          <w:tl2br w:val="single" w:color="auto" w:sz="6" w:space="0"/>
          <w:tr2bl w:val="nil"/>
        </w:tcBorders>
      </w:tcPr>
    </w:tblStylePr>
  </w:style>
  <w:style w:type="table" w:styleId="103">
    <w:name w:val="Table Contemporary"/>
    <w:basedOn w:val="76"/>
    <w:semiHidden/>
    <w:qFormat/>
    <w:uiPriority w:val="99"/>
    <w:pPr>
      <w:widowControl w:val="0"/>
      <w:spacing w:after="200" w:line="276" w:lineRule="auto"/>
    </w:pPr>
    <w:rPr>
      <w:rFonts w:ascii="Calibri" w:hAnsi="Calibri" w:cs="Calibri"/>
    </w:rPr>
    <w:tblPr>
      <w:tblBorders>
        <w:insideH w:val="single" w:color="FFFFFF" w:sz="18" w:space="0"/>
        <w:insideV w:val="single" w:color="FFFFFF" w:sz="18" w:space="0"/>
      </w:tblBorders>
    </w:tblPr>
    <w:tblStylePr w:type="firstRow">
      <w:rPr>
        <w:rFonts w:cs="黑体"/>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黑体"/>
        <w:color w:val="auto"/>
      </w:rPr>
      <w:tblPr/>
      <w:tcPr>
        <w:tcBorders>
          <w:top w:val="nil"/>
          <w:left w:val="nil"/>
          <w:bottom w:val="nil"/>
          <w:right w:val="nil"/>
          <w:insideH w:val="nil"/>
          <w:insideV w:val="nil"/>
          <w:tl2br w:val="nil"/>
          <w:tr2bl w:val="nil"/>
        </w:tcBorders>
        <w:shd w:val="pct5" w:color="000000" w:fill="FFFFFF"/>
      </w:tcPr>
    </w:tblStylePr>
    <w:tblStylePr w:type="band2Horz">
      <w:rPr>
        <w:rFonts w:cs="黑体"/>
        <w:color w:val="auto"/>
      </w:rPr>
      <w:tblPr/>
      <w:tcPr>
        <w:tcBorders>
          <w:top w:val="nil"/>
          <w:left w:val="nil"/>
          <w:bottom w:val="nil"/>
          <w:right w:val="nil"/>
          <w:insideH w:val="nil"/>
          <w:insideV w:val="nil"/>
          <w:tl2br w:val="nil"/>
          <w:tr2bl w:val="nil"/>
        </w:tcBorders>
        <w:shd w:val="pct20" w:color="000000" w:fill="FFFFFF"/>
      </w:tcPr>
    </w:tblStylePr>
  </w:style>
  <w:style w:type="table" w:styleId="104">
    <w:name w:val="Table Columns 1"/>
    <w:basedOn w:val="76"/>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rFonts w:cs="黑体"/>
        <w:b w:val="0"/>
        <w:bCs w:val="0"/>
      </w:rPr>
      <w:tblPr/>
      <w:tcPr>
        <w:tcBorders>
          <w:top w:val="nil"/>
          <w:left w:val="nil"/>
          <w:bottom w:val="double" w:color="000000" w:sz="6" w:space="0"/>
          <w:right w:val="nil"/>
          <w:insideH w:val="nil"/>
          <w:insideV w:val="nil"/>
          <w:tl2br w:val="nil"/>
          <w:tr2bl w:val="nil"/>
        </w:tcBorders>
      </w:tcPr>
    </w:tblStylePr>
    <w:tblStylePr w:type="lastRow">
      <w:rPr>
        <w:rFonts w:cs="黑体"/>
        <w:b w:val="0"/>
        <w:bCs w:val="0"/>
      </w:rPr>
      <w:tblPr/>
      <w:tcPr>
        <w:tcBorders>
          <w:top w:val="nil"/>
          <w:left w:val="nil"/>
          <w:bottom w:val="nil"/>
          <w:right w:val="nil"/>
          <w:insideH w:val="nil"/>
          <w:insideV w:val="nil"/>
          <w:tl2br w:val="nil"/>
          <w:tr2bl w:val="nil"/>
        </w:tcBorders>
      </w:tcPr>
    </w:tblStylePr>
    <w:tblStylePr w:type="firstCol">
      <w:rPr>
        <w:rFonts w:cs="黑体"/>
        <w:b w:val="0"/>
        <w:bCs w:val="0"/>
      </w:rPr>
      <w:tblPr/>
      <w:tcPr>
        <w:tcBorders>
          <w:top w:val="nil"/>
          <w:left w:val="nil"/>
          <w:bottom w:val="nil"/>
          <w:right w:val="nil"/>
          <w:insideH w:val="nil"/>
          <w:insideV w:val="nil"/>
          <w:tl2br w:val="nil"/>
          <w:tr2bl w:val="nil"/>
        </w:tcBorders>
      </w:tcPr>
    </w:tblStylePr>
    <w:tblStylePr w:type="lastCol">
      <w:rPr>
        <w:rFonts w:cs="黑体"/>
        <w:b w:val="0"/>
        <w:bCs w:val="0"/>
      </w:rPr>
      <w:tblPr/>
      <w:tcPr>
        <w:tcBorders>
          <w:top w:val="nil"/>
          <w:left w:val="nil"/>
          <w:bottom w:val="nil"/>
          <w:right w:val="nil"/>
          <w:insideH w:val="nil"/>
          <w:insideV w:val="nil"/>
          <w:tl2br w:val="nil"/>
          <w:tr2bl w:val="nil"/>
        </w:tcBorders>
      </w:tcPr>
    </w:tblStylePr>
    <w:tblStylePr w:type="band1Vert">
      <w:rPr>
        <w:rFonts w:cs="黑体"/>
        <w:color w:val="auto"/>
      </w:rPr>
      <w:tblPr/>
      <w:tcPr>
        <w:shd w:val="pct25" w:color="000000" w:fill="FFFFFF"/>
      </w:tcPr>
    </w:tblStylePr>
    <w:tblStylePr w:type="band2Vert">
      <w:rPr>
        <w:rFonts w:cs="黑体"/>
        <w:color w:val="auto"/>
      </w:rPr>
      <w:tblPr/>
      <w:tcPr>
        <w:shd w:val="pct25" w:color="FFFF0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105">
    <w:name w:val="Table Columns 2"/>
    <w:basedOn w:val="76"/>
    <w:semiHidden/>
    <w:qFormat/>
    <w:uiPriority w:val="99"/>
    <w:pPr>
      <w:widowControl w:val="0"/>
      <w:spacing w:after="200" w:line="276" w:lineRule="auto"/>
    </w:pPr>
    <w:rPr>
      <w:rFonts w:ascii="Calibri" w:hAnsi="Calibri" w:cs="Calibri"/>
      <w:b/>
      <w:bCs/>
    </w:rPr>
    <w:tblPr>
      <w:tblStyleColBandSize w:val="1"/>
    </w:tblPr>
    <w:tblStylePr w:type="firstRow">
      <w:rPr>
        <w:rFonts w:cs="黑体"/>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黑体"/>
        <w:b w:val="0"/>
        <w:bCs w:val="0"/>
      </w:rPr>
      <w:tblPr/>
      <w:tcPr>
        <w:tcBorders>
          <w:top w:val="nil"/>
          <w:left w:val="nil"/>
          <w:bottom w:val="nil"/>
          <w:right w:val="nil"/>
          <w:insideH w:val="nil"/>
          <w:insideV w:val="nil"/>
          <w:tl2br w:val="nil"/>
          <w:tr2bl w:val="nil"/>
        </w:tcBorders>
      </w:tcPr>
    </w:tblStylePr>
    <w:tblStylePr w:type="firstCol">
      <w:rPr>
        <w:rFonts w:cs="黑体"/>
        <w:b w:val="0"/>
        <w:bCs w:val="0"/>
        <w:color w:val="000000"/>
      </w:rPr>
      <w:tblPr/>
      <w:tcPr>
        <w:tcBorders>
          <w:top w:val="nil"/>
          <w:left w:val="nil"/>
          <w:bottom w:val="nil"/>
          <w:right w:val="nil"/>
          <w:insideH w:val="nil"/>
          <w:insideV w:val="nil"/>
          <w:tl2br w:val="nil"/>
          <w:tr2bl w:val="nil"/>
        </w:tcBorders>
      </w:tcPr>
    </w:tblStylePr>
    <w:tblStylePr w:type="lastCol">
      <w:rPr>
        <w:rFonts w:cs="黑体"/>
        <w:b w:val="0"/>
        <w:bCs w:val="0"/>
      </w:rPr>
      <w:tblPr/>
      <w:tcPr>
        <w:tcBorders>
          <w:top w:val="nil"/>
          <w:left w:val="nil"/>
          <w:bottom w:val="nil"/>
          <w:right w:val="nil"/>
          <w:insideH w:val="nil"/>
          <w:insideV w:val="nil"/>
          <w:tl2br w:val="nil"/>
          <w:tr2bl w:val="nil"/>
        </w:tcBorders>
      </w:tcPr>
    </w:tblStylePr>
    <w:tblStylePr w:type="band1Vert">
      <w:rPr>
        <w:rFonts w:cs="黑体"/>
        <w:color w:val="auto"/>
      </w:rPr>
      <w:tblPr/>
      <w:tcPr>
        <w:shd w:val="pct30" w:color="000000" w:fill="FFFFFF"/>
      </w:tcPr>
    </w:tblStylePr>
    <w:tblStylePr w:type="band2Vert">
      <w:rPr>
        <w:rFonts w:cs="黑体"/>
        <w:color w:val="auto"/>
      </w:rPr>
      <w:tblPr/>
      <w:tcPr>
        <w:shd w:val="pct25" w:color="00FF0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106">
    <w:name w:val="Table Columns 3"/>
    <w:basedOn w:val="76"/>
    <w:semiHidden/>
    <w:qFormat/>
    <w:uiPriority w:val="99"/>
    <w:pPr>
      <w:widowControl w:val="0"/>
      <w:spacing w:after="200" w:line="276" w:lineRule="auto"/>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黑体"/>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黑体"/>
        <w:b w:val="0"/>
        <w:bCs w:val="0"/>
      </w:rPr>
      <w:tblPr/>
      <w:tcPr>
        <w:tcBorders>
          <w:top w:val="single" w:color="000080" w:sz="6" w:space="0"/>
          <w:left w:val="nil"/>
          <w:bottom w:val="nil"/>
          <w:right w:val="nil"/>
          <w:insideH w:val="nil"/>
          <w:insideV w:val="nil"/>
          <w:tl2br w:val="nil"/>
          <w:tr2bl w:val="nil"/>
        </w:tcBorders>
      </w:tcPr>
    </w:tblStylePr>
    <w:tblStylePr w:type="firstCol">
      <w:rPr>
        <w:rFonts w:cs="黑体"/>
        <w:b w:val="0"/>
        <w:bCs w:val="0"/>
      </w:rPr>
      <w:tblPr/>
      <w:tcPr>
        <w:tcBorders>
          <w:top w:val="nil"/>
          <w:left w:val="nil"/>
          <w:bottom w:val="nil"/>
          <w:right w:val="nil"/>
          <w:insideH w:val="nil"/>
          <w:insideV w:val="nil"/>
          <w:tl2br w:val="nil"/>
          <w:tr2bl w:val="nil"/>
        </w:tcBorders>
      </w:tcPr>
    </w:tblStylePr>
    <w:tblStylePr w:type="lastCol">
      <w:rPr>
        <w:rFonts w:cs="黑体"/>
        <w:b w:val="0"/>
        <w:bCs w:val="0"/>
      </w:rPr>
      <w:tblPr/>
      <w:tcPr>
        <w:tcBorders>
          <w:top w:val="nil"/>
          <w:left w:val="nil"/>
          <w:bottom w:val="nil"/>
          <w:right w:val="nil"/>
          <w:insideH w:val="nil"/>
          <w:insideV w:val="nil"/>
          <w:tl2br w:val="nil"/>
          <w:tr2bl w:val="nil"/>
        </w:tcBorders>
      </w:tcPr>
    </w:tblStylePr>
    <w:tblStylePr w:type="band1Vert">
      <w:rPr>
        <w:rFonts w:cs="黑体"/>
        <w:color w:val="auto"/>
      </w:rPr>
      <w:tblPr/>
      <w:tcPr>
        <w:shd w:val="solid" w:color="C0C0C0" w:fill="FFFFFF"/>
      </w:tcPr>
    </w:tblStylePr>
    <w:tblStylePr w:type="band2Vert">
      <w:rPr>
        <w:rFonts w:cs="黑体"/>
        <w:color w:val="auto"/>
      </w:rPr>
      <w:tblPr/>
      <w:tcPr>
        <w:shd w:val="pct10" w:color="000000" w:fill="FFFFFF"/>
      </w:tcPr>
    </w:tblStylePr>
    <w:tblStylePr w:type="neCell">
      <w:rPr>
        <w:rFonts w:cs="黑体"/>
        <w:b/>
        <w:bCs/>
      </w:rPr>
      <w:tblPr/>
      <w:tcPr>
        <w:tcBorders>
          <w:top w:val="nil"/>
          <w:left w:val="nil"/>
          <w:bottom w:val="nil"/>
          <w:right w:val="nil"/>
          <w:insideH w:val="nil"/>
          <w:insideV w:val="nil"/>
          <w:tl2br w:val="nil"/>
          <w:tr2bl w:val="nil"/>
        </w:tcBorders>
      </w:tcPr>
    </w:tblStylePr>
  </w:style>
  <w:style w:type="table" w:styleId="107">
    <w:name w:val="Table Columns 4"/>
    <w:basedOn w:val="76"/>
    <w:semiHidden/>
    <w:qFormat/>
    <w:uiPriority w:val="99"/>
    <w:pPr>
      <w:widowControl w:val="0"/>
      <w:spacing w:after="200" w:line="276" w:lineRule="auto"/>
    </w:pPr>
    <w:rPr>
      <w:rFonts w:ascii="Calibri" w:hAnsi="Calibri" w:cs="Calibri"/>
    </w:rPr>
    <w:tblPr>
      <w:tblStyleColBandSize w:val="1"/>
    </w:tblPr>
    <w:tblStylePr w:type="firstRow">
      <w:rPr>
        <w:rFonts w:cs="黑体"/>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band1Vert">
      <w:rPr>
        <w:rFonts w:cs="黑体"/>
        <w:color w:val="auto"/>
      </w:rPr>
      <w:tblPr/>
      <w:tcPr>
        <w:shd w:val="pct50" w:color="008080" w:fill="FFFFFF"/>
      </w:tcPr>
    </w:tblStylePr>
    <w:tblStylePr w:type="band2Vert">
      <w:rPr>
        <w:rFonts w:cs="黑体"/>
        <w:color w:val="auto"/>
      </w:rPr>
      <w:tblPr/>
      <w:tcPr>
        <w:shd w:val="pct10" w:color="000000" w:fill="FFFFFF"/>
      </w:tcPr>
    </w:tblStylePr>
  </w:style>
  <w:style w:type="table" w:styleId="108">
    <w:name w:val="Table Columns 5"/>
    <w:basedOn w:val="76"/>
    <w:semiHidden/>
    <w:qFormat/>
    <w:uiPriority w:val="99"/>
    <w:pPr>
      <w:widowControl w:val="0"/>
      <w:spacing w:after="200" w:line="276" w:lineRule="auto"/>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黑体"/>
        <w:b/>
        <w:bCs/>
        <w:i/>
        <w:iCs/>
      </w:rPr>
      <w:tblPr/>
      <w:tcPr>
        <w:tcBorders>
          <w:top w:val="nil"/>
          <w:left w:val="nil"/>
          <w:bottom w:val="single" w:color="808080" w:sz="6" w:space="0"/>
          <w:right w:val="nil"/>
          <w:insideH w:val="nil"/>
          <w:insideV w:val="nil"/>
          <w:tl2br w:val="nil"/>
          <w:tr2bl w:val="nil"/>
        </w:tcBorders>
      </w:tcPr>
    </w:tblStylePr>
    <w:tblStylePr w:type="lastRow">
      <w:rPr>
        <w:rFonts w:cs="黑体"/>
        <w:b/>
        <w:bCs/>
      </w:rPr>
      <w:tblPr/>
      <w:tcPr>
        <w:tcBorders>
          <w:top w:val="single" w:color="80808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band1Vert">
      <w:rPr>
        <w:rFonts w:cs="黑体"/>
        <w:color w:val="auto"/>
      </w:rPr>
      <w:tblPr/>
      <w:tcPr>
        <w:shd w:val="solid" w:color="C0C0C0" w:fill="FFFFFF"/>
      </w:tcPr>
    </w:tblStylePr>
    <w:tblStylePr w:type="band2Vert">
      <w:rPr>
        <w:rFonts w:cs="黑体"/>
        <w:color w:val="auto"/>
      </w:rPr>
    </w:tblStylePr>
  </w:style>
  <w:style w:type="table" w:styleId="109">
    <w:name w:val="Table Grid 1"/>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黑体"/>
        <w:i/>
        <w:iCs/>
      </w:rPr>
      <w:tblPr/>
      <w:tcPr>
        <w:tcBorders>
          <w:top w:val="nil"/>
          <w:left w:val="nil"/>
          <w:bottom w:val="nil"/>
          <w:right w:val="nil"/>
          <w:insideH w:val="nil"/>
          <w:insideV w:val="nil"/>
          <w:tl2br w:val="nil"/>
          <w:tr2bl w:val="nil"/>
        </w:tcBorders>
      </w:tcPr>
    </w:tblStylePr>
    <w:tblStylePr w:type="lastCol">
      <w:rPr>
        <w:rFonts w:cs="黑体"/>
        <w:i/>
        <w:i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0">
    <w:name w:val="Table Grid 2"/>
    <w:basedOn w:val="76"/>
    <w:semiHidden/>
    <w:qFormat/>
    <w:uiPriority w:val="99"/>
    <w:pPr>
      <w:widowControl w:val="0"/>
      <w:spacing w:after="200" w:line="276" w:lineRule="auto"/>
    </w:pPr>
    <w:rPr>
      <w:rFonts w:ascii="Calibri" w:hAnsi="Calibri" w:cs="Calibri"/>
    </w:rPr>
    <w:tblPr>
      <w:tblBorders>
        <w:insideH w:val="single" w:color="000000" w:sz="6" w:space="0"/>
        <w:insideV w:val="single" w:color="000000" w:sz="6" w:space="0"/>
      </w:tblBorders>
    </w:tblPr>
    <w:tblStylePr w:type="firstRow">
      <w:rPr>
        <w:rFonts w:cs="黑体"/>
        <w:b/>
        <w:bCs/>
      </w:rPr>
      <w:tblPr/>
      <w:tcPr>
        <w:tcBorders>
          <w:top w:val="nil"/>
          <w:left w:val="nil"/>
          <w:bottom w:val="nil"/>
          <w:right w:val="nil"/>
          <w:insideH w:val="nil"/>
          <w:insideV w:val="nil"/>
          <w:tl2br w:val="nil"/>
          <w:tr2bl w:val="nil"/>
        </w:tcBorders>
      </w:tcPr>
    </w:tblStylePr>
    <w:tblStylePr w:type="lastRow">
      <w:rPr>
        <w:rFonts w:cs="黑体"/>
        <w:b/>
        <w:bCs/>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style>
  <w:style w:type="table" w:styleId="111">
    <w:name w:val="Table Grid 3"/>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黑体"/>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2">
    <w:name w:val="Table Grid 4"/>
    <w:basedOn w:val="76"/>
    <w:semiHidden/>
    <w:qFormat/>
    <w:uiPriority w:val="99"/>
    <w:pPr>
      <w:widowControl w:val="0"/>
      <w:spacing w:after="200" w:line="276" w:lineRule="auto"/>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rFonts w:cs="黑体"/>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黑体"/>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黑体"/>
        <w:b/>
        <w:bCs/>
        <w:color w:val="auto"/>
      </w:rPr>
      <w:tblPr/>
      <w:tcPr>
        <w:tcBorders>
          <w:top w:val="nil"/>
          <w:left w:val="nil"/>
          <w:bottom w:val="nil"/>
          <w:right w:val="nil"/>
          <w:insideH w:val="nil"/>
          <w:insideV w:val="nil"/>
          <w:tl2br w:val="nil"/>
          <w:tr2bl w:val="nil"/>
        </w:tcBorders>
      </w:tcPr>
    </w:tblStylePr>
  </w:style>
  <w:style w:type="table" w:styleId="113">
    <w:name w:val="Table Grid 5"/>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黑体"/>
      </w:rPr>
      <w:tblPr/>
      <w:tcPr>
        <w:tcBorders>
          <w:top w:val="nil"/>
          <w:left w:val="nil"/>
          <w:bottom w:val="single" w:color="000000" w:sz="12" w:space="0"/>
          <w:right w:val="nil"/>
          <w:insideH w:val="nil"/>
          <w:insideV w:val="nil"/>
          <w:tl2br w:val="nil"/>
          <w:tr2bl w:val="nil"/>
        </w:tcBorders>
      </w:tcPr>
    </w:tblStylePr>
    <w:tblStylePr w:type="lastRow">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4">
    <w:name w:val="Table Grid 6"/>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黑体"/>
        <w:b/>
        <w:bCs/>
      </w:rPr>
      <w:tblPr/>
      <w:tcPr>
        <w:tcBorders>
          <w:top w:val="nil"/>
          <w:left w:val="nil"/>
          <w:bottom w:val="single" w:color="000000" w:sz="6" w:space="0"/>
          <w:right w:val="nil"/>
          <w:insideH w:val="nil"/>
          <w:insideV w:val="nil"/>
          <w:tl2br w:val="nil"/>
          <w:tr2bl w:val="nil"/>
        </w:tcBorders>
      </w:tcPr>
    </w:tblStylePr>
    <w:tblStylePr w:type="lastRow">
      <w:rPr>
        <w:rFonts w:cs="黑体"/>
        <w:color w:val="auto"/>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5">
    <w:name w:val="Table Grid 7"/>
    <w:basedOn w:val="76"/>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黑体"/>
        <w:b w:val="0"/>
        <w:bCs w:val="0"/>
      </w:rPr>
      <w:tblPr/>
      <w:tcPr>
        <w:tcBorders>
          <w:top w:val="nil"/>
          <w:left w:val="nil"/>
          <w:bottom w:val="single" w:color="000000" w:sz="12" w:space="0"/>
          <w:right w:val="nil"/>
          <w:insideH w:val="nil"/>
          <w:insideV w:val="nil"/>
          <w:tl2br w:val="nil"/>
          <w:tr2bl w:val="nil"/>
        </w:tcBorders>
      </w:tcPr>
    </w:tblStylePr>
    <w:tblStylePr w:type="lastRow">
      <w:rPr>
        <w:rFonts w:cs="黑体"/>
        <w:b w:val="0"/>
        <w:bCs w:val="0"/>
      </w:rPr>
      <w:tblPr/>
      <w:tcPr>
        <w:tcBorders>
          <w:top w:val="single" w:color="000000" w:sz="6" w:space="0"/>
          <w:left w:val="nil"/>
          <w:bottom w:val="nil"/>
          <w:right w:val="nil"/>
          <w:insideH w:val="nil"/>
          <w:insideV w:val="nil"/>
          <w:tl2br w:val="nil"/>
          <w:tr2bl w:val="nil"/>
        </w:tcBorders>
      </w:tcPr>
    </w:tblStylePr>
    <w:tblStylePr w:type="firstCol">
      <w:rPr>
        <w:rFonts w:cs="黑体"/>
        <w:b w:val="0"/>
        <w:bCs w:val="0"/>
      </w:rPr>
      <w:tblPr/>
      <w:tcPr>
        <w:tcBorders>
          <w:top w:val="nil"/>
          <w:left w:val="nil"/>
          <w:bottom w:val="nil"/>
          <w:right w:val="nil"/>
          <w:insideH w:val="nil"/>
          <w:insideV w:val="nil"/>
          <w:tl2br w:val="nil"/>
          <w:tr2bl w:val="nil"/>
        </w:tcBorders>
      </w:tcPr>
    </w:tblStylePr>
    <w:tblStylePr w:type="lastCol">
      <w:rPr>
        <w:rFonts w:cs="黑体"/>
        <w:b w:val="0"/>
        <w:bCs w:val="0"/>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6">
    <w:name w:val="Table Grid 8"/>
    <w:basedOn w:val="76"/>
    <w:semiHidden/>
    <w:qFormat/>
    <w:uiPriority w:val="99"/>
    <w:pPr>
      <w:widowControl w:val="0"/>
      <w:spacing w:after="200" w:line="276" w:lineRule="auto"/>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黑体"/>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黑体"/>
        <w:b/>
        <w:bCs/>
        <w:color w:val="auto"/>
      </w:rPr>
      <w:tblPr/>
      <w:tcPr>
        <w:tcBorders>
          <w:top w:val="nil"/>
          <w:left w:val="nil"/>
          <w:bottom w:val="nil"/>
          <w:right w:val="nil"/>
          <w:insideH w:val="nil"/>
          <w:insideV w:val="nil"/>
          <w:tl2br w:val="nil"/>
          <w:tr2bl w:val="nil"/>
        </w:tcBorders>
      </w:tcPr>
    </w:tblStylePr>
    <w:tblStylePr w:type="lastCol">
      <w:rPr>
        <w:rFonts w:cs="黑体"/>
        <w:b/>
        <w:bCs/>
        <w:color w:val="auto"/>
      </w:rPr>
      <w:tblPr/>
      <w:tcPr>
        <w:tcBorders>
          <w:top w:val="nil"/>
          <w:left w:val="nil"/>
          <w:bottom w:val="nil"/>
          <w:right w:val="nil"/>
          <w:insideH w:val="nil"/>
          <w:insideV w:val="nil"/>
          <w:tl2br w:val="nil"/>
          <w:tr2bl w:val="nil"/>
        </w:tcBorders>
      </w:tcPr>
    </w:tblStylePr>
  </w:style>
  <w:style w:type="table" w:styleId="117">
    <w:name w:val="Table Web 1"/>
    <w:basedOn w:val="76"/>
    <w:semiHidden/>
    <w:qFormat/>
    <w:uiPriority w:val="99"/>
    <w:pPr>
      <w:widowControl w:val="0"/>
      <w:spacing w:after="200" w:line="276" w:lineRule="auto"/>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黑体"/>
        <w:color w:val="auto"/>
      </w:rPr>
      <w:tblPr/>
      <w:tcPr>
        <w:tcBorders>
          <w:top w:val="nil"/>
          <w:left w:val="nil"/>
          <w:bottom w:val="nil"/>
          <w:right w:val="nil"/>
          <w:insideH w:val="nil"/>
          <w:insideV w:val="nil"/>
          <w:tl2br w:val="nil"/>
          <w:tr2bl w:val="nil"/>
        </w:tcBorders>
      </w:tcPr>
    </w:tblStylePr>
  </w:style>
  <w:style w:type="table" w:styleId="118">
    <w:name w:val="Table Web 2"/>
    <w:basedOn w:val="76"/>
    <w:semiHidden/>
    <w:qFormat/>
    <w:uiPriority w:val="99"/>
    <w:pPr>
      <w:widowControl w:val="0"/>
      <w:spacing w:after="200" w:line="276" w:lineRule="auto"/>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黑体"/>
        <w:color w:val="auto"/>
      </w:rPr>
      <w:tblPr/>
      <w:tcPr>
        <w:tcBorders>
          <w:top w:val="nil"/>
          <w:left w:val="nil"/>
          <w:bottom w:val="nil"/>
          <w:right w:val="nil"/>
          <w:insideH w:val="nil"/>
          <w:insideV w:val="nil"/>
          <w:tl2br w:val="nil"/>
          <w:tr2bl w:val="nil"/>
        </w:tcBorders>
      </w:tcPr>
    </w:tblStylePr>
  </w:style>
  <w:style w:type="table" w:styleId="119">
    <w:name w:val="Table Web 3"/>
    <w:basedOn w:val="76"/>
    <w:semiHidden/>
    <w:qFormat/>
    <w:uiPriority w:val="99"/>
    <w:pPr>
      <w:widowControl w:val="0"/>
      <w:spacing w:after="200" w:line="276" w:lineRule="auto"/>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黑体"/>
        <w:color w:val="auto"/>
      </w:rPr>
      <w:tblPr/>
      <w:tcPr>
        <w:tcBorders>
          <w:top w:val="nil"/>
          <w:left w:val="nil"/>
          <w:bottom w:val="nil"/>
          <w:right w:val="nil"/>
          <w:insideH w:val="nil"/>
          <w:insideV w:val="nil"/>
          <w:tl2br w:val="nil"/>
          <w:tr2bl w:val="nil"/>
        </w:tcBorders>
      </w:tcPr>
    </w:tblStylePr>
  </w:style>
  <w:style w:type="table" w:styleId="120">
    <w:name w:val="Table Professional"/>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黑体"/>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2">
    <w:name w:val="Strong"/>
    <w:qFormat/>
    <w:uiPriority w:val="0"/>
    <w:rPr>
      <w:rFonts w:cs="Times New Roman"/>
      <w:b/>
      <w:bCs/>
    </w:rPr>
  </w:style>
  <w:style w:type="character" w:styleId="123">
    <w:name w:val="page number"/>
    <w:qFormat/>
    <w:uiPriority w:val="0"/>
    <w:rPr>
      <w:rFonts w:cs="Times New Roman"/>
    </w:rPr>
  </w:style>
  <w:style w:type="character" w:styleId="124">
    <w:name w:val="FollowedHyperlink"/>
    <w:qFormat/>
    <w:uiPriority w:val="0"/>
    <w:rPr>
      <w:rFonts w:cs="Times New Roman"/>
      <w:color w:val="1F4F88"/>
      <w:u w:val="none"/>
    </w:rPr>
  </w:style>
  <w:style w:type="character" w:styleId="125">
    <w:name w:val="Emphasis"/>
    <w:qFormat/>
    <w:uiPriority w:val="99"/>
    <w:rPr>
      <w:rFonts w:cs="Times New Roman"/>
      <w:color w:val="auto"/>
    </w:rPr>
  </w:style>
  <w:style w:type="character" w:styleId="126">
    <w:name w:val="line number"/>
    <w:qFormat/>
    <w:uiPriority w:val="99"/>
    <w:rPr>
      <w:rFonts w:cs="Times New Roman"/>
    </w:rPr>
  </w:style>
  <w:style w:type="character" w:styleId="127">
    <w:name w:val="HTML Definition"/>
    <w:semiHidden/>
    <w:qFormat/>
    <w:uiPriority w:val="99"/>
    <w:rPr>
      <w:rFonts w:cs="Times New Roman"/>
      <w:i/>
      <w:iCs/>
    </w:rPr>
  </w:style>
  <w:style w:type="character" w:styleId="128">
    <w:name w:val="HTML Typewriter"/>
    <w:semiHidden/>
    <w:qFormat/>
    <w:uiPriority w:val="99"/>
    <w:rPr>
      <w:rFonts w:ascii="Courier New" w:hAnsi="Courier New" w:cs="Courier New"/>
      <w:sz w:val="20"/>
      <w:szCs w:val="20"/>
    </w:rPr>
  </w:style>
  <w:style w:type="character" w:styleId="129">
    <w:name w:val="HTML Acronym"/>
    <w:semiHidden/>
    <w:qFormat/>
    <w:uiPriority w:val="99"/>
    <w:rPr>
      <w:rFonts w:cs="Times New Roman"/>
    </w:rPr>
  </w:style>
  <w:style w:type="character" w:styleId="130">
    <w:name w:val="HTML Variable"/>
    <w:semiHidden/>
    <w:qFormat/>
    <w:uiPriority w:val="99"/>
    <w:rPr>
      <w:rFonts w:cs="Times New Roman"/>
      <w:i/>
      <w:iCs/>
    </w:rPr>
  </w:style>
  <w:style w:type="character" w:styleId="131">
    <w:name w:val="Hyperlink"/>
    <w:qFormat/>
    <w:uiPriority w:val="99"/>
    <w:rPr>
      <w:rFonts w:cs="Times New Roman"/>
      <w:color w:val="1F4F88"/>
      <w:u w:val="none"/>
    </w:rPr>
  </w:style>
  <w:style w:type="character" w:styleId="132">
    <w:name w:val="HTML Code"/>
    <w:semiHidden/>
    <w:qFormat/>
    <w:uiPriority w:val="99"/>
    <w:rPr>
      <w:rFonts w:ascii="Courier New" w:hAnsi="Courier New" w:cs="Courier New"/>
      <w:sz w:val="20"/>
      <w:szCs w:val="20"/>
    </w:rPr>
  </w:style>
  <w:style w:type="character" w:styleId="133">
    <w:name w:val="annotation reference"/>
    <w:qFormat/>
    <w:uiPriority w:val="99"/>
    <w:rPr>
      <w:rFonts w:cs="Times New Roman"/>
      <w:sz w:val="21"/>
      <w:szCs w:val="21"/>
    </w:rPr>
  </w:style>
  <w:style w:type="character" w:styleId="134">
    <w:name w:val="HTML Cite"/>
    <w:semiHidden/>
    <w:qFormat/>
    <w:uiPriority w:val="99"/>
    <w:rPr>
      <w:rFonts w:cs="Times New Roman"/>
      <w:i/>
      <w:iCs/>
    </w:rPr>
  </w:style>
  <w:style w:type="character" w:styleId="135">
    <w:name w:val="footnote reference"/>
    <w:semiHidden/>
    <w:qFormat/>
    <w:locked/>
    <w:uiPriority w:val="0"/>
    <w:rPr>
      <w:vertAlign w:val="superscript"/>
    </w:rPr>
  </w:style>
  <w:style w:type="character" w:styleId="136">
    <w:name w:val="HTML Keyboard"/>
    <w:semiHidden/>
    <w:qFormat/>
    <w:uiPriority w:val="99"/>
    <w:rPr>
      <w:rFonts w:ascii="Courier New" w:hAnsi="Courier New" w:cs="Courier New"/>
      <w:sz w:val="20"/>
      <w:szCs w:val="20"/>
    </w:rPr>
  </w:style>
  <w:style w:type="character" w:styleId="137">
    <w:name w:val="HTML Sample"/>
    <w:semiHidden/>
    <w:qFormat/>
    <w:uiPriority w:val="99"/>
    <w:rPr>
      <w:rFonts w:ascii="Courier New" w:hAnsi="Courier New" w:cs="Courier New"/>
    </w:rPr>
  </w:style>
  <w:style w:type="paragraph" w:customStyle="1" w:styleId="138">
    <w:name w:val="标题2"/>
    <w:basedOn w:val="5"/>
    <w:next w:val="30"/>
    <w:link w:val="142"/>
    <w:qFormat/>
    <w:uiPriority w:val="0"/>
    <w:pPr>
      <w:outlineLvl w:val="1"/>
    </w:pPr>
  </w:style>
  <w:style w:type="character" w:customStyle="1" w:styleId="139">
    <w:name w:val="正文缩进 字符"/>
    <w:link w:val="2"/>
    <w:qFormat/>
    <w:locked/>
    <w:uiPriority w:val="99"/>
    <w:rPr>
      <w:rFonts w:eastAsia="宋体" w:cs="Times New Roman"/>
      <w:sz w:val="21"/>
      <w:szCs w:val="21"/>
    </w:rPr>
  </w:style>
  <w:style w:type="character" w:customStyle="1" w:styleId="140">
    <w:name w:val="标题 1 字符"/>
    <w:link w:val="3"/>
    <w:qFormat/>
    <w:locked/>
    <w:uiPriority w:val="99"/>
    <w:rPr>
      <w:b/>
      <w:iCs/>
      <w:kern w:val="2"/>
      <w:sz w:val="36"/>
    </w:rPr>
  </w:style>
  <w:style w:type="character" w:customStyle="1" w:styleId="141">
    <w:name w:val="标题 3 字符"/>
    <w:link w:val="5"/>
    <w:qFormat/>
    <w:locked/>
    <w:uiPriority w:val="99"/>
    <w:rPr>
      <w:bCs/>
      <w:sz w:val="24"/>
      <w:szCs w:val="32"/>
    </w:rPr>
  </w:style>
  <w:style w:type="character" w:customStyle="1" w:styleId="142">
    <w:name w:val="标题2 字符"/>
    <w:link w:val="138"/>
    <w:qFormat/>
    <w:uiPriority w:val="0"/>
  </w:style>
  <w:style w:type="character" w:customStyle="1" w:styleId="143">
    <w:name w:val="正文文本 字符"/>
    <w:link w:val="30"/>
    <w:semiHidden/>
    <w:qFormat/>
    <w:locked/>
    <w:uiPriority w:val="99"/>
    <w:rPr>
      <w:rFonts w:cs="Times New Roman"/>
      <w:sz w:val="21"/>
      <w:szCs w:val="21"/>
    </w:rPr>
  </w:style>
  <w:style w:type="character" w:customStyle="1" w:styleId="144">
    <w:name w:val="标题 2 字符"/>
    <w:link w:val="4"/>
    <w:qFormat/>
    <w:locked/>
    <w:uiPriority w:val="0"/>
    <w:rPr>
      <w:bCs/>
      <w:kern w:val="2"/>
      <w:sz w:val="28"/>
      <w:szCs w:val="28"/>
    </w:rPr>
  </w:style>
  <w:style w:type="character" w:customStyle="1" w:styleId="145">
    <w:name w:val="标题 4 字符"/>
    <w:link w:val="6"/>
    <w:qFormat/>
    <w:locked/>
    <w:uiPriority w:val="99"/>
    <w:rPr>
      <w:rFonts w:ascii="Arial" w:hAnsi="Arial" w:eastAsia="黑体"/>
      <w:b/>
      <w:bCs/>
      <w:sz w:val="28"/>
      <w:szCs w:val="28"/>
    </w:rPr>
  </w:style>
  <w:style w:type="character" w:customStyle="1" w:styleId="146">
    <w:name w:val="标题 5 字符"/>
    <w:link w:val="7"/>
    <w:qFormat/>
    <w:locked/>
    <w:uiPriority w:val="99"/>
    <w:rPr>
      <w:b/>
      <w:bCs/>
      <w:sz w:val="28"/>
      <w:szCs w:val="28"/>
    </w:rPr>
  </w:style>
  <w:style w:type="character" w:customStyle="1" w:styleId="147">
    <w:name w:val="标题 6 字符"/>
    <w:link w:val="8"/>
    <w:qFormat/>
    <w:locked/>
    <w:uiPriority w:val="99"/>
    <w:rPr>
      <w:rFonts w:ascii="Arial" w:hAnsi="Arial" w:eastAsia="黑体"/>
      <w:b/>
      <w:bCs/>
    </w:rPr>
  </w:style>
  <w:style w:type="character" w:customStyle="1" w:styleId="148">
    <w:name w:val="标题 7 字符"/>
    <w:link w:val="9"/>
    <w:qFormat/>
    <w:locked/>
    <w:uiPriority w:val="99"/>
    <w:rPr>
      <w:b/>
      <w:bCs/>
      <w:sz w:val="24"/>
      <w:szCs w:val="24"/>
    </w:rPr>
  </w:style>
  <w:style w:type="character" w:customStyle="1" w:styleId="149">
    <w:name w:val="标题 8 字符"/>
    <w:link w:val="10"/>
    <w:qFormat/>
    <w:locked/>
    <w:uiPriority w:val="99"/>
    <w:rPr>
      <w:rFonts w:ascii="Cambria" w:hAnsi="Cambria"/>
      <w:sz w:val="24"/>
      <w:szCs w:val="24"/>
    </w:rPr>
  </w:style>
  <w:style w:type="character" w:customStyle="1" w:styleId="150">
    <w:name w:val="标题 9 字符"/>
    <w:link w:val="11"/>
    <w:qFormat/>
    <w:locked/>
    <w:uiPriority w:val="99"/>
    <w:rPr>
      <w:rFonts w:ascii="Cambria" w:hAnsi="Cambria"/>
      <w:sz w:val="21"/>
      <w:szCs w:val="21"/>
    </w:rPr>
  </w:style>
  <w:style w:type="character" w:customStyle="1" w:styleId="151">
    <w:name w:val="注释标题 字符"/>
    <w:link w:val="16"/>
    <w:semiHidden/>
    <w:qFormat/>
    <w:locked/>
    <w:uiPriority w:val="99"/>
    <w:rPr>
      <w:rFonts w:cs="Times New Roman"/>
      <w:sz w:val="21"/>
      <w:szCs w:val="21"/>
    </w:rPr>
  </w:style>
  <w:style w:type="character" w:customStyle="1" w:styleId="152">
    <w:name w:val="电子邮件签名 字符"/>
    <w:link w:val="18"/>
    <w:semiHidden/>
    <w:qFormat/>
    <w:locked/>
    <w:uiPriority w:val="99"/>
    <w:rPr>
      <w:rFonts w:cs="Times New Roman"/>
      <w:sz w:val="21"/>
      <w:szCs w:val="21"/>
    </w:rPr>
  </w:style>
  <w:style w:type="character" w:customStyle="1" w:styleId="153">
    <w:name w:val="文档结构图 字符"/>
    <w:link w:val="23"/>
    <w:qFormat/>
    <w:locked/>
    <w:uiPriority w:val="0"/>
    <w:rPr>
      <w:rFonts w:cs="Times New Roman"/>
      <w:sz w:val="2"/>
      <w:szCs w:val="2"/>
    </w:rPr>
  </w:style>
  <w:style w:type="character" w:customStyle="1" w:styleId="154">
    <w:name w:val="批注文字 字符"/>
    <w:link w:val="25"/>
    <w:qFormat/>
    <w:locked/>
    <w:uiPriority w:val="99"/>
    <w:rPr>
      <w:rFonts w:cs="Times New Roman"/>
      <w:sz w:val="21"/>
      <w:szCs w:val="21"/>
    </w:rPr>
  </w:style>
  <w:style w:type="character" w:customStyle="1" w:styleId="155">
    <w:name w:val="称呼 字符"/>
    <w:link w:val="26"/>
    <w:semiHidden/>
    <w:qFormat/>
    <w:locked/>
    <w:uiPriority w:val="99"/>
    <w:rPr>
      <w:rFonts w:cs="Times New Roman"/>
      <w:sz w:val="21"/>
      <w:szCs w:val="21"/>
    </w:rPr>
  </w:style>
  <w:style w:type="character" w:customStyle="1" w:styleId="156">
    <w:name w:val="正文文本 3 字符"/>
    <w:link w:val="27"/>
    <w:semiHidden/>
    <w:qFormat/>
    <w:locked/>
    <w:uiPriority w:val="99"/>
    <w:rPr>
      <w:rFonts w:cs="Times New Roman"/>
      <w:sz w:val="16"/>
      <w:szCs w:val="16"/>
    </w:rPr>
  </w:style>
  <w:style w:type="character" w:customStyle="1" w:styleId="157">
    <w:name w:val="结束语 字符"/>
    <w:link w:val="28"/>
    <w:semiHidden/>
    <w:qFormat/>
    <w:locked/>
    <w:uiPriority w:val="99"/>
    <w:rPr>
      <w:rFonts w:cs="Times New Roman"/>
      <w:sz w:val="21"/>
      <w:szCs w:val="21"/>
    </w:rPr>
  </w:style>
  <w:style w:type="character" w:customStyle="1" w:styleId="158">
    <w:name w:val="正文文本缩进 字符"/>
    <w:link w:val="31"/>
    <w:qFormat/>
    <w:locked/>
    <w:uiPriority w:val="0"/>
    <w:rPr>
      <w:rFonts w:cs="Times New Roman"/>
      <w:sz w:val="21"/>
      <w:szCs w:val="21"/>
    </w:rPr>
  </w:style>
  <w:style w:type="character" w:customStyle="1" w:styleId="159">
    <w:name w:val="HTML 地址 字符"/>
    <w:link w:val="37"/>
    <w:semiHidden/>
    <w:qFormat/>
    <w:locked/>
    <w:uiPriority w:val="99"/>
    <w:rPr>
      <w:rFonts w:cs="Times New Roman"/>
      <w:i/>
      <w:iCs/>
      <w:sz w:val="21"/>
      <w:szCs w:val="21"/>
    </w:rPr>
  </w:style>
  <w:style w:type="character" w:customStyle="1" w:styleId="160">
    <w:name w:val="纯文本 字符1"/>
    <w:link w:val="40"/>
    <w:qFormat/>
    <w:locked/>
    <w:uiPriority w:val="0"/>
    <w:rPr>
      <w:rFonts w:ascii="宋体" w:hAnsi="Courier New" w:cs="宋体"/>
      <w:sz w:val="21"/>
      <w:szCs w:val="21"/>
    </w:rPr>
  </w:style>
  <w:style w:type="character" w:customStyle="1" w:styleId="161">
    <w:name w:val="日期 字符"/>
    <w:link w:val="44"/>
    <w:qFormat/>
    <w:locked/>
    <w:uiPriority w:val="0"/>
    <w:rPr>
      <w:rFonts w:cs="Times New Roman"/>
      <w:sz w:val="21"/>
      <w:szCs w:val="21"/>
    </w:rPr>
  </w:style>
  <w:style w:type="character" w:customStyle="1" w:styleId="162">
    <w:name w:val="正文文本缩进 2 字符"/>
    <w:link w:val="45"/>
    <w:qFormat/>
    <w:locked/>
    <w:uiPriority w:val="0"/>
    <w:rPr>
      <w:rFonts w:cs="Times New Roman"/>
      <w:sz w:val="21"/>
      <w:szCs w:val="21"/>
    </w:rPr>
  </w:style>
  <w:style w:type="character" w:customStyle="1" w:styleId="163">
    <w:name w:val="批注框文本 字符"/>
    <w:link w:val="47"/>
    <w:qFormat/>
    <w:uiPriority w:val="99"/>
    <w:rPr>
      <w:kern w:val="2"/>
      <w:sz w:val="18"/>
      <w:szCs w:val="18"/>
    </w:rPr>
  </w:style>
  <w:style w:type="character" w:customStyle="1" w:styleId="164">
    <w:name w:val="页脚 字符"/>
    <w:link w:val="48"/>
    <w:qFormat/>
    <w:locked/>
    <w:uiPriority w:val="99"/>
    <w:rPr>
      <w:rFonts w:cs="Times New Roman"/>
      <w:sz w:val="18"/>
      <w:szCs w:val="18"/>
    </w:rPr>
  </w:style>
  <w:style w:type="character" w:customStyle="1" w:styleId="165">
    <w:name w:val="页眉 字符"/>
    <w:link w:val="50"/>
    <w:qFormat/>
    <w:locked/>
    <w:uiPriority w:val="99"/>
    <w:rPr>
      <w:rFonts w:cs="Times New Roman"/>
      <w:sz w:val="18"/>
      <w:szCs w:val="18"/>
    </w:rPr>
  </w:style>
  <w:style w:type="character" w:customStyle="1" w:styleId="166">
    <w:name w:val="签名 字符"/>
    <w:link w:val="51"/>
    <w:semiHidden/>
    <w:qFormat/>
    <w:locked/>
    <w:uiPriority w:val="99"/>
    <w:rPr>
      <w:rFonts w:cs="Times New Roman"/>
      <w:sz w:val="21"/>
      <w:szCs w:val="21"/>
    </w:rPr>
  </w:style>
  <w:style w:type="character" w:customStyle="1" w:styleId="167">
    <w:name w:val="副标题 字符"/>
    <w:link w:val="55"/>
    <w:qFormat/>
    <w:locked/>
    <w:uiPriority w:val="99"/>
    <w:rPr>
      <w:rFonts w:ascii="Cambria" w:hAnsi="Cambria" w:cs="Cambria"/>
      <w:b/>
      <w:bCs/>
      <w:kern w:val="28"/>
      <w:sz w:val="32"/>
      <w:szCs w:val="32"/>
    </w:rPr>
  </w:style>
  <w:style w:type="character" w:customStyle="1" w:styleId="168">
    <w:name w:val="正文文本缩进 3 字符"/>
    <w:link w:val="61"/>
    <w:qFormat/>
    <w:locked/>
    <w:uiPriority w:val="0"/>
    <w:rPr>
      <w:rFonts w:cs="Times New Roman"/>
      <w:sz w:val="16"/>
      <w:szCs w:val="16"/>
    </w:rPr>
  </w:style>
  <w:style w:type="character" w:customStyle="1" w:styleId="169">
    <w:name w:val="正文文本 2 字符"/>
    <w:link w:val="64"/>
    <w:semiHidden/>
    <w:qFormat/>
    <w:locked/>
    <w:uiPriority w:val="99"/>
    <w:rPr>
      <w:rFonts w:cs="Times New Roman"/>
      <w:sz w:val="21"/>
      <w:szCs w:val="21"/>
    </w:rPr>
  </w:style>
  <w:style w:type="character" w:customStyle="1" w:styleId="170">
    <w:name w:val="信息标题 字符"/>
    <w:link w:val="67"/>
    <w:semiHidden/>
    <w:qFormat/>
    <w:locked/>
    <w:uiPriority w:val="99"/>
    <w:rPr>
      <w:rFonts w:ascii="Cambria" w:hAnsi="Cambria" w:eastAsia="宋体" w:cs="Cambria"/>
      <w:sz w:val="24"/>
      <w:szCs w:val="24"/>
      <w:shd w:val="pct20" w:color="auto" w:fill="auto"/>
    </w:rPr>
  </w:style>
  <w:style w:type="character" w:customStyle="1" w:styleId="171">
    <w:name w:val="HTML 预设格式 字符"/>
    <w:link w:val="68"/>
    <w:semiHidden/>
    <w:qFormat/>
    <w:locked/>
    <w:uiPriority w:val="99"/>
    <w:rPr>
      <w:rFonts w:ascii="Courier New" w:hAnsi="Courier New" w:cs="Courier New"/>
      <w:sz w:val="20"/>
      <w:szCs w:val="20"/>
    </w:rPr>
  </w:style>
  <w:style w:type="character" w:customStyle="1" w:styleId="172">
    <w:name w:val="标题 字符"/>
    <w:link w:val="72"/>
    <w:qFormat/>
    <w:locked/>
    <w:uiPriority w:val="0"/>
    <w:rPr>
      <w:b/>
      <w:bCs/>
      <w:sz w:val="32"/>
      <w:szCs w:val="32"/>
    </w:rPr>
  </w:style>
  <w:style w:type="character" w:customStyle="1" w:styleId="173">
    <w:name w:val="批注主题 字符"/>
    <w:link w:val="73"/>
    <w:semiHidden/>
    <w:qFormat/>
    <w:locked/>
    <w:uiPriority w:val="99"/>
    <w:rPr>
      <w:rFonts w:ascii="Calibri" w:hAnsi="Calibri" w:eastAsia="宋体" w:cs="Calibri"/>
      <w:b/>
      <w:bCs/>
      <w:sz w:val="21"/>
      <w:szCs w:val="21"/>
      <w:lang w:val="en-US" w:eastAsia="en-US"/>
    </w:rPr>
  </w:style>
  <w:style w:type="character" w:customStyle="1" w:styleId="174">
    <w:name w:val="正文文本首行缩进 字符"/>
    <w:link w:val="74"/>
    <w:semiHidden/>
    <w:qFormat/>
    <w:locked/>
    <w:uiPriority w:val="99"/>
    <w:rPr>
      <w:rFonts w:eastAsia="宋体" w:cs="Times New Roman"/>
      <w:sz w:val="21"/>
      <w:szCs w:val="21"/>
    </w:rPr>
  </w:style>
  <w:style w:type="character" w:customStyle="1" w:styleId="175">
    <w:name w:val="正文文本首行缩进 2 字符"/>
    <w:link w:val="75"/>
    <w:semiHidden/>
    <w:qFormat/>
    <w:locked/>
    <w:uiPriority w:val="99"/>
    <w:rPr>
      <w:rFonts w:cs="Times New Roman"/>
      <w:sz w:val="21"/>
      <w:szCs w:val="21"/>
    </w:rPr>
  </w:style>
  <w:style w:type="character" w:customStyle="1" w:styleId="176">
    <w:name w:val="Footer Char"/>
    <w:semiHidden/>
    <w:qFormat/>
    <w:locked/>
    <w:uiPriority w:val="99"/>
    <w:rPr>
      <w:rFonts w:eastAsia="宋体"/>
      <w:sz w:val="18"/>
    </w:rPr>
  </w:style>
  <w:style w:type="character" w:customStyle="1" w:styleId="177">
    <w:name w:val="Default Char"/>
    <w:link w:val="178"/>
    <w:qFormat/>
    <w:uiPriority w:val="0"/>
    <w:rPr>
      <w:rFonts w:ascii="宋体"/>
      <w:color w:val="000000"/>
      <w:sz w:val="24"/>
      <w:szCs w:val="24"/>
      <w:lang w:val="en-US" w:eastAsia="zh-CN" w:bidi="ar-SA"/>
    </w:rPr>
  </w:style>
  <w:style w:type="paragraph" w:customStyle="1" w:styleId="178">
    <w:name w:val="Default"/>
    <w:link w:val="177"/>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79">
    <w:name w:val="正文（缩进） Char"/>
    <w:link w:val="180"/>
    <w:qFormat/>
    <w:locked/>
    <w:uiPriority w:val="99"/>
    <w:rPr>
      <w:rFonts w:eastAsia="宋体"/>
      <w:sz w:val="24"/>
    </w:rPr>
  </w:style>
  <w:style w:type="paragraph" w:customStyle="1" w:styleId="180">
    <w:name w:val="正文（缩进）"/>
    <w:basedOn w:val="1"/>
    <w:link w:val="179"/>
    <w:semiHidden/>
    <w:qFormat/>
    <w:uiPriority w:val="99"/>
    <w:pPr>
      <w:spacing w:beforeLines="50" w:afterLines="50" w:line="360" w:lineRule="auto"/>
      <w:ind w:firstLine="480" w:firstLineChars="200"/>
    </w:pPr>
    <w:rPr>
      <w:kern w:val="0"/>
      <w:sz w:val="24"/>
      <w:szCs w:val="20"/>
    </w:rPr>
  </w:style>
  <w:style w:type="character" w:customStyle="1" w:styleId="181">
    <w:name w:val="Comment Text Char"/>
    <w:qFormat/>
    <w:locked/>
    <w:uiPriority w:val="99"/>
    <w:rPr>
      <w:rFonts w:ascii="Calibri" w:hAnsi="Calibri" w:eastAsia="宋体"/>
      <w:sz w:val="22"/>
      <w:lang w:val="en-US" w:eastAsia="en-US"/>
    </w:rPr>
  </w:style>
  <w:style w:type="character" w:customStyle="1" w:styleId="182">
    <w:name w:val="style61"/>
    <w:qFormat/>
    <w:uiPriority w:val="0"/>
    <w:rPr>
      <w:color w:val="CCCCCC"/>
    </w:rPr>
  </w:style>
  <w:style w:type="character" w:customStyle="1" w:styleId="183">
    <w:name w:val="List Paragraph Char"/>
    <w:link w:val="184"/>
    <w:qFormat/>
    <w:locked/>
    <w:uiPriority w:val="0"/>
    <w:rPr>
      <w:color w:val="262626"/>
    </w:rPr>
  </w:style>
  <w:style w:type="paragraph" w:customStyle="1" w:styleId="184">
    <w:name w:val="列出段落2"/>
    <w:basedOn w:val="1"/>
    <w:link w:val="183"/>
    <w:qFormat/>
    <w:uiPriority w:val="0"/>
    <w:pPr>
      <w:ind w:firstLine="420" w:firstLineChars="200"/>
    </w:pPr>
    <w:rPr>
      <w:color w:val="262626"/>
      <w:kern w:val="0"/>
      <w:sz w:val="20"/>
      <w:szCs w:val="20"/>
    </w:rPr>
  </w:style>
  <w:style w:type="character" w:customStyle="1" w:styleId="185">
    <w:name w:val="HR正文 Char"/>
    <w:link w:val="186"/>
    <w:qFormat/>
    <w:uiPriority w:val="0"/>
    <w:rPr>
      <w:rFonts w:ascii="Calibri" w:hAnsi="Calibri"/>
      <w:kern w:val="2"/>
      <w:sz w:val="24"/>
      <w:szCs w:val="24"/>
    </w:rPr>
  </w:style>
  <w:style w:type="paragraph" w:customStyle="1" w:styleId="186">
    <w:name w:val="HR正文"/>
    <w:basedOn w:val="1"/>
    <w:link w:val="185"/>
    <w:qFormat/>
    <w:uiPriority w:val="0"/>
    <w:pPr>
      <w:spacing w:line="300" w:lineRule="auto"/>
      <w:ind w:firstLine="200" w:firstLineChars="200"/>
    </w:pPr>
    <w:rPr>
      <w:rFonts w:ascii="Calibri" w:hAnsi="Calibri"/>
      <w:sz w:val="24"/>
      <w:szCs w:val="24"/>
    </w:rPr>
  </w:style>
  <w:style w:type="character" w:customStyle="1" w:styleId="187">
    <w:name w:val="HTML Markup"/>
    <w:qFormat/>
    <w:uiPriority w:val="0"/>
    <w:rPr>
      <w:vanish/>
      <w:color w:val="FF0000"/>
    </w:rPr>
  </w:style>
  <w:style w:type="character" w:customStyle="1" w:styleId="188">
    <w:name w:val="ewm"/>
    <w:qFormat/>
    <w:uiPriority w:val="0"/>
  </w:style>
  <w:style w:type="character" w:customStyle="1" w:styleId="189">
    <w:name w:val="段 Char"/>
    <w:link w:val="190"/>
    <w:qFormat/>
    <w:locked/>
    <w:uiPriority w:val="99"/>
    <w:rPr>
      <w:rFonts w:ascii="宋体" w:cs="宋体"/>
      <w:sz w:val="21"/>
      <w:szCs w:val="21"/>
      <w:lang w:val="en-US" w:eastAsia="zh-CN" w:bidi="ar-SA"/>
    </w:rPr>
  </w:style>
  <w:style w:type="paragraph" w:customStyle="1" w:styleId="190">
    <w:name w:val="段"/>
    <w:link w:val="189"/>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191">
    <w:name w:val="r-search"/>
    <w:qFormat/>
    <w:uiPriority w:val="0"/>
  </w:style>
  <w:style w:type="character" w:customStyle="1" w:styleId="192">
    <w:name w:val="Header Char"/>
    <w:semiHidden/>
    <w:qFormat/>
    <w:locked/>
    <w:uiPriority w:val="99"/>
    <w:rPr>
      <w:rFonts w:eastAsia="宋体"/>
      <w:sz w:val="18"/>
    </w:rPr>
  </w:style>
  <w:style w:type="character" w:customStyle="1" w:styleId="193">
    <w:name w:val="hover39"/>
    <w:qFormat/>
    <w:uiPriority w:val="99"/>
    <w:rPr>
      <w:rFonts w:cs="Times New Roman"/>
      <w:color w:val="FFFFFF"/>
      <w:shd w:val="clear" w:color="auto" w:fill="auto"/>
    </w:rPr>
  </w:style>
  <w:style w:type="character" w:customStyle="1" w:styleId="194">
    <w:name w:val="param-name1"/>
    <w:qFormat/>
    <w:uiPriority w:val="99"/>
    <w:rPr>
      <w:rFonts w:cs="Times New Roman"/>
      <w:b/>
      <w:bCs/>
    </w:rPr>
  </w:style>
  <w:style w:type="character" w:customStyle="1" w:styleId="195">
    <w:name w:val="hover40"/>
    <w:qFormat/>
    <w:uiPriority w:val="99"/>
    <w:rPr>
      <w:rFonts w:cs="Times New Roman"/>
      <w:color w:val="auto"/>
      <w:u w:val="single"/>
    </w:rPr>
  </w:style>
  <w:style w:type="character" w:customStyle="1" w:styleId="196">
    <w:name w:val="Body Text Char"/>
    <w:qFormat/>
    <w:locked/>
    <w:uiPriority w:val="99"/>
    <w:rPr>
      <w:rFonts w:eastAsia="宋体"/>
      <w:sz w:val="21"/>
    </w:rPr>
  </w:style>
  <w:style w:type="character" w:customStyle="1" w:styleId="197">
    <w:name w:val="hover34"/>
    <w:qFormat/>
    <w:uiPriority w:val="0"/>
    <w:rPr>
      <w:color w:val="FFFFFF"/>
      <w:bdr w:val="single" w:color="5294E5" w:sz="4" w:space="0"/>
      <w:shd w:val="clear" w:color="auto" w:fill="5294E5"/>
    </w:rPr>
  </w:style>
  <w:style w:type="character" w:customStyle="1" w:styleId="198">
    <w:name w:val="标题 1 Char"/>
    <w:qFormat/>
    <w:uiPriority w:val="0"/>
    <w:rPr>
      <w:rFonts w:eastAsia="宋体" w:cs="Times New Roman"/>
      <w:b/>
      <w:bCs/>
      <w:kern w:val="44"/>
      <w:sz w:val="44"/>
      <w:szCs w:val="44"/>
      <w:lang w:val="en-US" w:eastAsia="zh-CN"/>
    </w:rPr>
  </w:style>
  <w:style w:type="character" w:customStyle="1" w:styleId="199">
    <w:name w:val="bds_more"/>
    <w:qFormat/>
    <w:uiPriority w:val="99"/>
    <w:rPr>
      <w:rFonts w:ascii="Arial" w:hAnsi="Arial" w:cs="Arial"/>
    </w:rPr>
  </w:style>
  <w:style w:type="character" w:customStyle="1" w:styleId="200">
    <w:name w:val="z-crt3"/>
    <w:qFormat/>
    <w:uiPriority w:val="0"/>
    <w:rPr>
      <w:color w:val="FFFFFF"/>
      <w:bdr w:val="single" w:color="5295E6" w:sz="4" w:space="0"/>
      <w:shd w:val="clear" w:color="auto" w:fill="5295E6"/>
    </w:rPr>
  </w:style>
  <w:style w:type="character" w:customStyle="1" w:styleId="201">
    <w:name w:val="hei14"/>
    <w:semiHidden/>
    <w:qFormat/>
    <w:uiPriority w:val="99"/>
    <w:rPr>
      <w:rFonts w:cs="Times New Roman"/>
    </w:rPr>
  </w:style>
  <w:style w:type="character" w:customStyle="1" w:styleId="202">
    <w:name w:val="hover38"/>
    <w:qFormat/>
    <w:uiPriority w:val="99"/>
    <w:rPr>
      <w:rFonts w:cs="Times New Roman"/>
      <w:color w:val="auto"/>
      <w:u w:val="single"/>
    </w:rPr>
  </w:style>
  <w:style w:type="character" w:customStyle="1" w:styleId="203">
    <w:name w:val="Document Map Char"/>
    <w:semiHidden/>
    <w:qFormat/>
    <w:locked/>
    <w:uiPriority w:val="99"/>
    <w:rPr>
      <w:rFonts w:eastAsia="宋体"/>
      <w:sz w:val="21"/>
    </w:rPr>
  </w:style>
  <w:style w:type="character" w:customStyle="1" w:styleId="204">
    <w:name w:val="r-search1"/>
    <w:qFormat/>
    <w:uiPriority w:val="0"/>
  </w:style>
  <w:style w:type="character" w:customStyle="1" w:styleId="205">
    <w:name w:val="Body Text First Indent Char"/>
    <w:qFormat/>
    <w:locked/>
    <w:uiPriority w:val="99"/>
    <w:rPr>
      <w:rFonts w:ascii="宋体" w:hAnsi="宋体" w:eastAsia="宋体"/>
      <w:spacing w:val="20"/>
      <w:sz w:val="24"/>
    </w:rPr>
  </w:style>
  <w:style w:type="character" w:customStyle="1" w:styleId="206">
    <w:name w:val="z-crt4"/>
    <w:qFormat/>
    <w:uiPriority w:val="0"/>
    <w:rPr>
      <w:color w:val="FFFFFF"/>
      <w:bdr w:val="single" w:color="5294E5" w:sz="4" w:space="0"/>
      <w:shd w:val="clear" w:color="auto" w:fill="5294E5"/>
    </w:rPr>
  </w:style>
  <w:style w:type="character" w:customStyle="1" w:styleId="207">
    <w:name w:val="Char Char3"/>
    <w:qFormat/>
    <w:uiPriority w:val="99"/>
    <w:rPr>
      <w:rFonts w:ascii="Calibri" w:hAnsi="Calibri" w:eastAsia="宋体" w:cs="Calibri"/>
      <w:sz w:val="22"/>
      <w:szCs w:val="22"/>
      <w:lang w:eastAsia="en-US"/>
    </w:rPr>
  </w:style>
  <w:style w:type="character" w:customStyle="1" w:styleId="208">
    <w:name w:val="hover43"/>
    <w:qFormat/>
    <w:uiPriority w:val="99"/>
    <w:rPr>
      <w:rFonts w:cs="Times New Roman"/>
      <w:color w:val="auto"/>
      <w:u w:val="single"/>
    </w:rPr>
  </w:style>
  <w:style w:type="character" w:customStyle="1" w:styleId="209">
    <w:name w:val="纯文本 Char1"/>
    <w:semiHidden/>
    <w:qFormat/>
    <w:locked/>
    <w:uiPriority w:val="99"/>
    <w:rPr>
      <w:rFonts w:ascii="宋体" w:hAnsi="Courier New"/>
      <w:kern w:val="2"/>
      <w:sz w:val="21"/>
    </w:rPr>
  </w:style>
  <w:style w:type="character" w:customStyle="1" w:styleId="210">
    <w:name w:val="页眉 Char1"/>
    <w:semiHidden/>
    <w:qFormat/>
    <w:locked/>
    <w:uiPriority w:val="0"/>
    <w:rPr>
      <w:rFonts w:ascii="Calibri" w:hAnsi="Calibri"/>
      <w:sz w:val="18"/>
      <w:szCs w:val="18"/>
    </w:rPr>
  </w:style>
  <w:style w:type="character" w:customStyle="1" w:styleId="211">
    <w:name w:val="纯文本 字符"/>
    <w:qFormat/>
    <w:uiPriority w:val="0"/>
    <w:rPr>
      <w:rFonts w:ascii="宋体" w:hAnsi="Courier New"/>
      <w:kern w:val="2"/>
      <w:sz w:val="21"/>
      <w:szCs w:val="21"/>
    </w:rPr>
  </w:style>
  <w:style w:type="character" w:customStyle="1" w:styleId="212">
    <w:name w:val="first-child"/>
    <w:qFormat/>
    <w:uiPriority w:val="0"/>
  </w:style>
  <w:style w:type="character" w:customStyle="1" w:styleId="213">
    <w:name w:val="hover44"/>
    <w:qFormat/>
    <w:uiPriority w:val="99"/>
    <w:rPr>
      <w:rFonts w:ascii="微软雅黑" w:hAnsi="微软雅黑" w:eastAsia="微软雅黑" w:cs="微软雅黑"/>
      <w:b/>
      <w:bCs/>
      <w:color w:val="auto"/>
      <w:sz w:val="22"/>
      <w:szCs w:val="22"/>
      <w:u w:val="single"/>
    </w:rPr>
  </w:style>
  <w:style w:type="character" w:customStyle="1" w:styleId="214">
    <w:name w:val="apple-converted-space"/>
    <w:qFormat/>
    <w:uiPriority w:val="99"/>
  </w:style>
  <w:style w:type="character" w:customStyle="1" w:styleId="215">
    <w:name w:val="正文文本缩进 2 Char1"/>
    <w:semiHidden/>
    <w:qFormat/>
    <w:locked/>
    <w:uiPriority w:val="99"/>
    <w:rPr>
      <w:sz w:val="21"/>
      <w:szCs w:val="21"/>
    </w:rPr>
  </w:style>
  <w:style w:type="character" w:customStyle="1" w:styleId="216">
    <w:name w:val="hover42"/>
    <w:qFormat/>
    <w:uiPriority w:val="99"/>
    <w:rPr>
      <w:rFonts w:cs="Times New Roman"/>
      <w:color w:val="FFFFFF"/>
      <w:shd w:val="clear" w:color="auto" w:fill="auto"/>
    </w:rPr>
  </w:style>
  <w:style w:type="character" w:customStyle="1" w:styleId="217">
    <w:name w:val="列出段落 Char"/>
    <w:link w:val="218"/>
    <w:qFormat/>
    <w:locked/>
    <w:uiPriority w:val="34"/>
    <w:rPr>
      <w:rFonts w:eastAsia="宋体" w:cs="Times New Roman"/>
      <w:color w:val="262626"/>
    </w:rPr>
  </w:style>
  <w:style w:type="paragraph" w:customStyle="1" w:styleId="218">
    <w:name w:val="List Paragraph1"/>
    <w:basedOn w:val="1"/>
    <w:link w:val="217"/>
    <w:qFormat/>
    <w:uiPriority w:val="34"/>
    <w:pPr>
      <w:spacing w:line="360" w:lineRule="auto"/>
      <w:ind w:firstLine="480" w:firstLineChars="200"/>
    </w:pPr>
    <w:rPr>
      <w:color w:val="262626"/>
      <w:kern w:val="0"/>
      <w:sz w:val="20"/>
      <w:szCs w:val="20"/>
    </w:rPr>
  </w:style>
  <w:style w:type="character" w:customStyle="1" w:styleId="219">
    <w:name w:val="列出段落 字符"/>
    <w:qFormat/>
    <w:locked/>
    <w:uiPriority w:val="34"/>
    <w:rPr>
      <w:kern w:val="2"/>
      <w:sz w:val="21"/>
      <w:szCs w:val="24"/>
    </w:rPr>
  </w:style>
  <w:style w:type="character" w:customStyle="1" w:styleId="220">
    <w:name w:val="HR标题3 Char"/>
    <w:link w:val="221"/>
    <w:qFormat/>
    <w:uiPriority w:val="0"/>
    <w:rPr>
      <w:rFonts w:ascii="Calibri" w:hAnsi="Calibri"/>
      <w:kern w:val="2"/>
      <w:sz w:val="24"/>
      <w:szCs w:val="24"/>
    </w:rPr>
  </w:style>
  <w:style w:type="paragraph" w:customStyle="1" w:styleId="221">
    <w:name w:val="HR标题3"/>
    <w:basedOn w:val="1"/>
    <w:next w:val="186"/>
    <w:link w:val="220"/>
    <w:qFormat/>
    <w:uiPriority w:val="0"/>
    <w:pPr>
      <w:tabs>
        <w:tab w:val="left" w:pos="624"/>
        <w:tab w:val="left" w:pos="1260"/>
      </w:tabs>
      <w:spacing w:line="360" w:lineRule="auto"/>
      <w:ind w:left="1260" w:hanging="420"/>
      <w:outlineLvl w:val="2"/>
    </w:pPr>
    <w:rPr>
      <w:rFonts w:ascii="Calibri" w:hAnsi="Calibri"/>
      <w:sz w:val="24"/>
      <w:szCs w:val="24"/>
    </w:rPr>
  </w:style>
  <w:style w:type="character" w:customStyle="1" w:styleId="222">
    <w:name w:val="HR正文 Char1"/>
    <w:qFormat/>
    <w:uiPriority w:val="0"/>
    <w:rPr>
      <w:kern w:val="2"/>
      <w:sz w:val="24"/>
      <w:szCs w:val="24"/>
    </w:rPr>
  </w:style>
  <w:style w:type="paragraph" w:customStyle="1" w:styleId="223">
    <w:name w:val="样式5"/>
    <w:basedOn w:val="1"/>
    <w:next w:val="39"/>
    <w:qFormat/>
    <w:uiPriority w:val="99"/>
    <w:pPr>
      <w:tabs>
        <w:tab w:val="left" w:pos="980"/>
      </w:tabs>
      <w:spacing w:line="360" w:lineRule="auto"/>
      <w:ind w:left="140" w:right="-20"/>
      <w:outlineLvl w:val="0"/>
    </w:pPr>
    <w:rPr>
      <w:b/>
      <w:bCs/>
      <w:kern w:val="0"/>
      <w:sz w:val="28"/>
      <w:szCs w:val="28"/>
    </w:rPr>
  </w:style>
  <w:style w:type="paragraph" w:customStyle="1" w:styleId="224">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25">
    <w:name w:val="Char Char 字元 字元 字元 Char Char Char Char"/>
    <w:basedOn w:val="1"/>
    <w:qFormat/>
    <w:uiPriority w:val="99"/>
    <w:pPr>
      <w:adjustRightInd w:val="0"/>
      <w:spacing w:line="360" w:lineRule="auto"/>
    </w:pPr>
    <w:rPr>
      <w:kern w:val="0"/>
      <w:sz w:val="24"/>
      <w:szCs w:val="24"/>
    </w:rPr>
  </w:style>
  <w:style w:type="paragraph" w:customStyle="1" w:styleId="226">
    <w:name w:val="标题 5（有编号）（绿盟科技）"/>
    <w:basedOn w:val="1"/>
    <w:next w:val="1"/>
    <w:semiHidden/>
    <w:qFormat/>
    <w:uiPriority w:val="99"/>
    <w:pPr>
      <w:keepNext/>
      <w:keepLines/>
      <w:tabs>
        <w:tab w:val="left" w:pos="840"/>
      </w:tabs>
      <w:spacing w:line="377" w:lineRule="auto"/>
      <w:ind w:left="1560" w:hanging="1134"/>
      <w:jc w:val="left"/>
      <w:outlineLvl w:val="4"/>
    </w:pPr>
    <w:rPr>
      <w:rFonts w:ascii="Arial" w:hAnsi="Arial" w:eastAsia="黑体" w:cs="Arial"/>
      <w:b/>
      <w:bCs/>
      <w:kern w:val="0"/>
      <w:sz w:val="24"/>
      <w:szCs w:val="24"/>
    </w:rPr>
  </w:style>
  <w:style w:type="paragraph" w:customStyle="1" w:styleId="227">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28">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29">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30">
    <w:name w:val="表格"/>
    <w:basedOn w:val="1"/>
    <w:next w:val="1"/>
    <w:qFormat/>
    <w:uiPriority w:val="0"/>
    <w:pPr>
      <w:spacing w:beforeLines="50" w:afterLines="50"/>
      <w:jc w:val="left"/>
    </w:pPr>
    <w:rPr>
      <w:rFonts w:ascii="宋体" w:hAnsi="宋体"/>
    </w:rPr>
  </w:style>
  <w:style w:type="paragraph" w:customStyle="1" w:styleId="231">
    <w:name w:val="111111"/>
    <w:basedOn w:val="72"/>
    <w:qFormat/>
    <w:uiPriority w:val="99"/>
    <w:pPr>
      <w:jc w:val="both"/>
    </w:pPr>
  </w:style>
  <w:style w:type="paragraph" w:customStyle="1" w:styleId="232">
    <w:name w:val="HR标题7"/>
    <w:basedOn w:val="1"/>
    <w:next w:val="186"/>
    <w:qFormat/>
    <w:uiPriority w:val="0"/>
    <w:pPr>
      <w:numPr>
        <w:ilvl w:val="6"/>
        <w:numId w:val="2"/>
      </w:numPr>
      <w:tabs>
        <w:tab w:val="left" w:pos="1332"/>
      </w:tabs>
      <w:spacing w:line="360" w:lineRule="auto"/>
      <w:outlineLvl w:val="6"/>
    </w:pPr>
    <w:rPr>
      <w:sz w:val="24"/>
      <w:szCs w:val="24"/>
    </w:rPr>
  </w:style>
  <w:style w:type="paragraph" w:customStyle="1" w:styleId="233">
    <w:name w:val="xl4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34">
    <w:name w:val="HR标题8"/>
    <w:basedOn w:val="1"/>
    <w:next w:val="186"/>
    <w:qFormat/>
    <w:uiPriority w:val="0"/>
    <w:pPr>
      <w:numPr>
        <w:ilvl w:val="7"/>
        <w:numId w:val="2"/>
      </w:numPr>
      <w:tabs>
        <w:tab w:val="left" w:pos="1531"/>
      </w:tabs>
      <w:spacing w:line="360" w:lineRule="auto"/>
      <w:outlineLvl w:val="7"/>
    </w:pPr>
    <w:rPr>
      <w:sz w:val="24"/>
      <w:szCs w:val="24"/>
    </w:rPr>
  </w:style>
  <w:style w:type="paragraph" w:customStyle="1" w:styleId="235">
    <w:name w:val="列出段落1"/>
    <w:basedOn w:val="1"/>
    <w:qFormat/>
    <w:uiPriority w:val="34"/>
    <w:pPr>
      <w:ind w:firstLine="420" w:firstLineChars="200"/>
    </w:pPr>
  </w:style>
  <w:style w:type="paragraph" w:customStyle="1" w:styleId="236">
    <w:name w:val="xl30"/>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37">
    <w:name w:val="HR标题2"/>
    <w:basedOn w:val="1"/>
    <w:next w:val="186"/>
    <w:qFormat/>
    <w:uiPriority w:val="0"/>
    <w:pPr>
      <w:tabs>
        <w:tab w:val="left" w:pos="454"/>
        <w:tab w:val="left" w:pos="840"/>
      </w:tabs>
      <w:spacing w:line="360" w:lineRule="auto"/>
      <w:ind w:left="840" w:hanging="420"/>
      <w:outlineLvl w:val="1"/>
    </w:pPr>
    <w:rPr>
      <w:rFonts w:eastAsia="黑体"/>
      <w:sz w:val="24"/>
      <w:szCs w:val="24"/>
    </w:rPr>
  </w:style>
  <w:style w:type="paragraph" w:customStyle="1" w:styleId="238">
    <w:name w:val="HR标题4"/>
    <w:basedOn w:val="1"/>
    <w:next w:val="186"/>
    <w:qFormat/>
    <w:uiPriority w:val="0"/>
    <w:pPr>
      <w:tabs>
        <w:tab w:val="left" w:pos="974"/>
        <w:tab w:val="left" w:pos="1680"/>
      </w:tabs>
      <w:spacing w:line="360" w:lineRule="auto"/>
      <w:ind w:left="1680" w:hanging="420"/>
      <w:outlineLvl w:val="3"/>
    </w:pPr>
    <w:rPr>
      <w:sz w:val="24"/>
      <w:szCs w:val="24"/>
    </w:rPr>
  </w:style>
  <w:style w:type="paragraph" w:customStyle="1" w:styleId="239">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0">
    <w:name w:val="style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1">
    <w:name w:val="样式1"/>
    <w:basedOn w:val="6"/>
    <w:qFormat/>
    <w:uiPriority w:val="99"/>
    <w:pPr>
      <w:autoSpaceDE w:val="0"/>
      <w:autoSpaceDN w:val="0"/>
      <w:adjustRightInd w:val="0"/>
      <w:spacing w:line="500" w:lineRule="exact"/>
      <w:ind w:firstLine="490" w:firstLineChars="204"/>
      <w:jc w:val="left"/>
    </w:pPr>
    <w:rPr>
      <w:rFonts w:ascii="宋体" w:hAnsi="宋体" w:cs="宋体"/>
      <w:sz w:val="24"/>
      <w:szCs w:val="24"/>
    </w:rPr>
  </w:style>
  <w:style w:type="paragraph" w:customStyle="1" w:styleId="242">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3">
    <w:name w:val="HR标题6"/>
    <w:basedOn w:val="1"/>
    <w:next w:val="186"/>
    <w:qFormat/>
    <w:uiPriority w:val="0"/>
    <w:pPr>
      <w:tabs>
        <w:tab w:val="left" w:pos="1134"/>
        <w:tab w:val="left" w:pos="2520"/>
      </w:tabs>
      <w:spacing w:line="360" w:lineRule="auto"/>
      <w:ind w:left="2520" w:hanging="420"/>
      <w:outlineLvl w:val="5"/>
    </w:pPr>
    <w:rPr>
      <w:sz w:val="24"/>
      <w:szCs w:val="24"/>
    </w:rPr>
  </w:style>
  <w:style w:type="paragraph" w:customStyle="1" w:styleId="244">
    <w:name w:val="样式4"/>
    <w:basedOn w:val="245"/>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cs="Calibri"/>
    </w:rPr>
  </w:style>
  <w:style w:type="paragraph" w:customStyle="1" w:styleId="245">
    <w:name w:val="样式2"/>
    <w:basedOn w:val="7"/>
    <w:qFormat/>
    <w:uiPriority w:val="99"/>
    <w:pPr>
      <w:autoSpaceDE w:val="0"/>
      <w:autoSpaceDN w:val="0"/>
      <w:adjustRightInd w:val="0"/>
      <w:spacing w:before="240" w:after="240" w:line="500" w:lineRule="exact"/>
      <w:ind w:firstLine="204" w:firstLineChars="204"/>
      <w:jc w:val="left"/>
    </w:pPr>
    <w:rPr>
      <w:rFonts w:ascii="宋体" w:hAnsi="宋体" w:cs="宋体"/>
      <w:sz w:val="24"/>
      <w:szCs w:val="24"/>
    </w:rPr>
  </w:style>
  <w:style w:type="paragraph" w:customStyle="1" w:styleId="246">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7">
    <w:name w:val="表题"/>
    <w:basedOn w:val="40"/>
    <w:qFormat/>
    <w:uiPriority w:val="99"/>
    <w:pPr>
      <w:adjustRightInd w:val="0"/>
      <w:spacing w:line="480" w:lineRule="auto"/>
      <w:jc w:val="center"/>
    </w:pPr>
    <w:rPr>
      <w:rFonts w:ascii="Times New Roman" w:hAnsi="Times New Roman" w:eastAsia="黑体"/>
      <w:sz w:val="18"/>
      <w:szCs w:val="18"/>
    </w:rPr>
  </w:style>
  <w:style w:type="paragraph" w:customStyle="1" w:styleId="248">
    <w:name w:val="日期11"/>
    <w:basedOn w:val="1"/>
    <w:next w:val="1"/>
    <w:qFormat/>
    <w:uiPriority w:val="0"/>
    <w:pPr>
      <w:adjustRightInd w:val="0"/>
      <w:textAlignment w:val="baseline"/>
    </w:pPr>
    <w:rPr>
      <w:sz w:val="28"/>
      <w:szCs w:val="20"/>
    </w:rPr>
  </w:style>
  <w:style w:type="paragraph" w:customStyle="1" w:styleId="249">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50">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51">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52">
    <w:name w:val="PP 行"/>
    <w:basedOn w:val="51"/>
    <w:qFormat/>
    <w:uiPriority w:val="99"/>
  </w:style>
  <w:style w:type="paragraph" w:customStyle="1" w:styleId="25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54">
    <w:name w:val="xl4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55">
    <w:name w:val="HR标题1"/>
    <w:basedOn w:val="1"/>
    <w:next w:val="186"/>
    <w:qFormat/>
    <w:uiPriority w:val="0"/>
    <w:pPr>
      <w:tabs>
        <w:tab w:val="left" w:pos="284"/>
        <w:tab w:val="left" w:pos="360"/>
      </w:tabs>
      <w:spacing w:line="360" w:lineRule="auto"/>
      <w:ind w:left="360" w:hanging="360"/>
      <w:outlineLvl w:val="0"/>
    </w:pPr>
    <w:rPr>
      <w:rFonts w:eastAsia="黑体"/>
      <w:sz w:val="24"/>
      <w:szCs w:val="24"/>
    </w:rPr>
  </w:style>
  <w:style w:type="paragraph" w:customStyle="1" w:styleId="256">
    <w:name w:val="Char Char1 Char Char Char Char"/>
    <w:basedOn w:val="1"/>
    <w:qFormat/>
    <w:uiPriority w:val="99"/>
    <w:pPr>
      <w:keepNext/>
      <w:keepLines/>
      <w:adjustRightInd w:val="0"/>
      <w:spacing w:beforeLines="100" w:afterLines="100" w:line="300" w:lineRule="auto"/>
      <w:ind w:firstLine="200" w:firstLineChars="200"/>
      <w:textAlignment w:val="center"/>
    </w:pPr>
    <w:rPr>
      <w:rFonts w:ascii="仿宋_GB2312" w:hAnsi="宋体" w:eastAsia="仿宋_GB2312" w:cs="仿宋_GB2312"/>
      <w:kern w:val="0"/>
      <w:sz w:val="24"/>
      <w:szCs w:val="24"/>
    </w:rPr>
  </w:style>
  <w:style w:type="paragraph" w:customStyle="1" w:styleId="257">
    <w:name w:val="Char Char1 Char Char Char Char1"/>
    <w:basedOn w:val="1"/>
    <w:qFormat/>
    <w:uiPriority w:val="99"/>
    <w:pPr>
      <w:keepNext/>
      <w:keepLines/>
      <w:adjustRightInd w:val="0"/>
      <w:spacing w:beforeLines="100" w:afterLines="100" w:line="300" w:lineRule="auto"/>
      <w:ind w:firstLine="200" w:firstLineChars="200"/>
    </w:pPr>
    <w:rPr>
      <w:rFonts w:ascii="仿宋_GB2312" w:hAnsi="宋体" w:eastAsia="仿宋_GB2312" w:cs="仿宋_GB2312"/>
      <w:kern w:val="0"/>
      <w:sz w:val="24"/>
      <w:szCs w:val="24"/>
    </w:rPr>
  </w:style>
  <w:style w:type="paragraph" w:customStyle="1" w:styleId="258">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59">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60">
    <w:name w:val="示例"/>
    <w:qFormat/>
    <w:uiPriority w:val="99"/>
    <w:pPr>
      <w:jc w:val="both"/>
    </w:pPr>
    <w:rPr>
      <w:rFonts w:ascii="宋体" w:hAnsi="Times New Roman" w:eastAsia="宋体" w:cs="宋体"/>
      <w:sz w:val="18"/>
      <w:szCs w:val="18"/>
      <w:lang w:val="en-US" w:eastAsia="zh-CN" w:bidi="ar-SA"/>
    </w:rPr>
  </w:style>
  <w:style w:type="paragraph" w:customStyle="1" w:styleId="261">
    <w:name w:val="A Lieferumfang Aufzählung"/>
    <w:basedOn w:val="1"/>
    <w:qFormat/>
    <w:uiPriority w:val="99"/>
    <w:pPr>
      <w:keepNext/>
      <w:widowControl/>
      <w:numPr>
        <w:ilvl w:val="0"/>
        <w:numId w:val="4"/>
      </w:numPr>
      <w:tabs>
        <w:tab w:val="left" w:pos="1701"/>
      </w:tabs>
      <w:spacing w:line="360" w:lineRule="auto"/>
      <w:jc w:val="left"/>
    </w:pPr>
    <w:rPr>
      <w:rFonts w:ascii="Arial" w:hAnsi="Arial"/>
      <w:kern w:val="0"/>
      <w:sz w:val="20"/>
      <w:szCs w:val="20"/>
      <w:lang w:val="de-DE" w:eastAsia="de-DE"/>
    </w:rPr>
  </w:style>
  <w:style w:type="paragraph" w:customStyle="1" w:styleId="262">
    <w:name w:val="_Style 3"/>
    <w:basedOn w:val="3"/>
    <w:next w:val="1"/>
    <w:qFormat/>
    <w:uiPriority w:val="39"/>
    <w:pPr>
      <w:keepNext/>
      <w:keepLines/>
      <w:tabs>
        <w:tab w:val="clear" w:pos="9061"/>
      </w:tabs>
      <w:spacing w:before="340" w:after="330" w:line="578" w:lineRule="auto"/>
      <w:ind w:left="0"/>
      <w:jc w:val="both"/>
      <w:outlineLvl w:val="9"/>
    </w:pPr>
    <w:rPr>
      <w:bCs/>
      <w:iCs w:val="0"/>
      <w:kern w:val="44"/>
      <w:sz w:val="44"/>
      <w:szCs w:val="44"/>
    </w:rPr>
  </w:style>
  <w:style w:type="paragraph" w:customStyle="1" w:styleId="263">
    <w:name w:val="_Style 262"/>
    <w:unhideWhenUsed/>
    <w:qFormat/>
    <w:uiPriority w:val="99"/>
    <w:rPr>
      <w:rFonts w:ascii="Times New Roman" w:hAnsi="Times New Roman" w:eastAsia="宋体" w:cs="Times New Roman"/>
      <w:kern w:val="2"/>
      <w:sz w:val="21"/>
      <w:szCs w:val="21"/>
      <w:lang w:val="en-US" w:eastAsia="zh-CN" w:bidi="ar-SA"/>
    </w:rPr>
  </w:style>
  <w:style w:type="paragraph" w:customStyle="1" w:styleId="264">
    <w:name w:val="t4_2"/>
    <w:basedOn w:val="1"/>
    <w:qFormat/>
    <w:uiPriority w:val="99"/>
    <w:pPr>
      <w:widowControl/>
      <w:tabs>
        <w:tab w:val="left" w:pos="360"/>
      </w:tabs>
      <w:spacing w:line="360" w:lineRule="auto"/>
      <w:ind w:left="420"/>
      <w:jc w:val="left"/>
    </w:pPr>
    <w:rPr>
      <w:b/>
      <w:bCs/>
    </w:rPr>
  </w:style>
  <w:style w:type="paragraph" w:customStyle="1" w:styleId="265">
    <w:name w:val="font6"/>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266">
    <w:name w:val="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67">
    <w:name w:val="正文文本 (2)1"/>
    <w:basedOn w:val="1"/>
    <w:qFormat/>
    <w:uiPriority w:val="0"/>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customStyle="1" w:styleId="268">
    <w:name w:val="_Style 267"/>
    <w:basedOn w:val="3"/>
    <w:next w:val="1"/>
    <w:qFormat/>
    <w:uiPriority w:val="39"/>
    <w:pPr>
      <w:keepNext/>
      <w:keepLines/>
      <w:tabs>
        <w:tab w:val="clear" w:pos="9061"/>
      </w:tabs>
      <w:spacing w:before="340" w:after="330" w:line="578" w:lineRule="auto"/>
      <w:ind w:left="0"/>
      <w:jc w:val="both"/>
      <w:outlineLvl w:val="9"/>
    </w:pPr>
    <w:rPr>
      <w:bCs/>
      <w:iCs w:val="0"/>
      <w:kern w:val="44"/>
      <w:sz w:val="44"/>
      <w:szCs w:val="44"/>
    </w:rPr>
  </w:style>
  <w:style w:type="paragraph" w:customStyle="1" w:styleId="269">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70">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71">
    <w:name w:val="HR标题5"/>
    <w:basedOn w:val="1"/>
    <w:next w:val="186"/>
    <w:qFormat/>
    <w:uiPriority w:val="0"/>
    <w:pPr>
      <w:tabs>
        <w:tab w:val="left" w:pos="1504"/>
        <w:tab w:val="left" w:pos="2100"/>
      </w:tabs>
      <w:spacing w:line="360" w:lineRule="auto"/>
      <w:ind w:left="2100" w:hanging="420"/>
      <w:outlineLvl w:val="4"/>
    </w:pPr>
    <w:rPr>
      <w:sz w:val="24"/>
      <w:szCs w:val="24"/>
    </w:rPr>
  </w:style>
  <w:style w:type="paragraph" w:customStyle="1" w:styleId="272">
    <w:name w:val="本文項目"/>
    <w:basedOn w:val="1"/>
    <w:semiHidden/>
    <w:qFormat/>
    <w:uiPriority w:val="99"/>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273">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74">
    <w:name w:val="样式7"/>
    <w:basedOn w:val="1"/>
    <w:qFormat/>
    <w:uiPriority w:val="0"/>
    <w:pPr>
      <w:widowControl/>
      <w:spacing w:line="480" w:lineRule="exact"/>
      <w:jc w:val="center"/>
    </w:pPr>
    <w:rPr>
      <w:rFonts w:eastAsia="方正大标宋简体"/>
      <w:spacing w:val="6"/>
      <w:kern w:val="0"/>
      <w:sz w:val="44"/>
      <w:szCs w:val="20"/>
    </w:rPr>
  </w:style>
  <w:style w:type="paragraph" w:customStyle="1" w:styleId="275">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黑体"/>
      <w:b/>
      <w:bCs/>
      <w:kern w:val="0"/>
      <w:sz w:val="28"/>
      <w:szCs w:val="28"/>
    </w:rPr>
  </w:style>
  <w:style w:type="paragraph" w:customStyle="1" w:styleId="276">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77">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78">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79">
    <w:name w:val="正文1"/>
    <w:basedOn w:val="1"/>
    <w:qFormat/>
    <w:uiPriority w:val="0"/>
    <w:pPr>
      <w:adjustRightInd w:val="0"/>
      <w:spacing w:line="400" w:lineRule="atLeast"/>
      <w:ind w:firstLine="1134"/>
      <w:jc w:val="left"/>
      <w:textAlignment w:val="baseline"/>
    </w:pPr>
    <w:rPr>
      <w:rFonts w:ascii="宋体"/>
      <w:kern w:val="0"/>
      <w:sz w:val="24"/>
      <w:szCs w:val="20"/>
    </w:rPr>
  </w:style>
  <w:style w:type="paragraph" w:customStyle="1" w:styleId="280">
    <w:name w:val="Normal_0"/>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281">
    <w:name w:val="xl33"/>
    <w:basedOn w:val="240"/>
    <w:qFormat/>
    <w:uiPriority w:val="99"/>
    <w:pPr>
      <w:pBdr>
        <w:bottom w:val="single" w:color="auto" w:sz="4" w:space="0"/>
        <w:right w:val="single" w:color="auto" w:sz="4" w:space="0"/>
      </w:pBdr>
      <w:jc w:val="center"/>
    </w:pPr>
    <w:rPr>
      <w:sz w:val="20"/>
      <w:szCs w:val="20"/>
    </w:rPr>
  </w:style>
  <w:style w:type="paragraph" w:customStyle="1" w:styleId="282">
    <w:name w:val="scfErstekopfzeile"/>
    <w:basedOn w:val="1"/>
    <w:qFormat/>
    <w:uiPriority w:val="99"/>
    <w:pPr>
      <w:widowControl/>
      <w:tabs>
        <w:tab w:val="left" w:pos="1701"/>
      </w:tabs>
      <w:jc w:val="left"/>
    </w:pPr>
    <w:rPr>
      <w:rFonts w:ascii="Arial" w:hAnsi="Arial"/>
      <w:vanish/>
      <w:kern w:val="0"/>
      <w:sz w:val="16"/>
      <w:szCs w:val="20"/>
      <w:lang w:val="de-DE" w:eastAsia="en-US"/>
    </w:rPr>
  </w:style>
  <w:style w:type="paragraph" w:customStyle="1" w:styleId="283">
    <w:name w:val="xl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84">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85">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6">
    <w:name w:val="标题 4（绿盟科技）"/>
    <w:basedOn w:val="6"/>
    <w:next w:val="1"/>
    <w:semiHidden/>
    <w:qFormat/>
    <w:uiPriority w:val="99"/>
    <w:pPr>
      <w:widowControl/>
      <w:tabs>
        <w:tab w:val="left" w:pos="360"/>
      </w:tabs>
      <w:ind w:left="1447" w:hanging="1021"/>
      <w:jc w:val="left"/>
    </w:pPr>
  </w:style>
  <w:style w:type="paragraph" w:customStyle="1" w:styleId="287">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88">
    <w:name w:val="日期5"/>
    <w:basedOn w:val="1"/>
    <w:next w:val="1"/>
    <w:qFormat/>
    <w:uiPriority w:val="0"/>
    <w:pPr>
      <w:adjustRightInd w:val="0"/>
      <w:textAlignment w:val="baseline"/>
    </w:pPr>
    <w:rPr>
      <w:rFonts w:ascii="Calibri" w:hAnsi="Calibri" w:cs="黑体"/>
    </w:rPr>
  </w:style>
  <w:style w:type="paragraph" w:customStyle="1" w:styleId="289">
    <w:name w:val="正文居中"/>
    <w:basedOn w:val="1"/>
    <w:next w:val="74"/>
    <w:qFormat/>
    <w:uiPriority w:val="99"/>
    <w:pPr>
      <w:jc w:val="center"/>
    </w:pPr>
    <w:rPr>
      <w:sz w:val="24"/>
      <w:szCs w:val="24"/>
    </w:rPr>
  </w:style>
  <w:style w:type="paragraph" w:customStyle="1" w:styleId="290">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91">
    <w:name w:val="样式目录三"/>
    <w:basedOn w:val="39"/>
    <w:semiHidden/>
    <w:qFormat/>
    <w:uiPriority w:val="99"/>
    <w:pPr>
      <w:numPr>
        <w:ilvl w:val="5"/>
        <w:numId w:val="2"/>
      </w:numPr>
      <w:tabs>
        <w:tab w:val="left" w:pos="1320"/>
        <w:tab w:val="right" w:leader="dot" w:pos="8597"/>
      </w:tabs>
      <w:ind w:left="0" w:firstLine="0"/>
      <w:outlineLvl w:val="2"/>
    </w:pPr>
    <w:rPr>
      <w:iCs w:val="0"/>
      <w:szCs w:val="24"/>
    </w:rPr>
  </w:style>
  <w:style w:type="paragraph" w:styleId="292">
    <w:name w:val="List Paragraph"/>
    <w:basedOn w:val="1"/>
    <w:qFormat/>
    <w:uiPriority w:val="99"/>
    <w:pPr>
      <w:ind w:firstLine="420" w:firstLineChars="200"/>
    </w:pPr>
    <w:rPr>
      <w:szCs w:val="24"/>
    </w:rPr>
  </w:style>
  <w:style w:type="paragraph" w:customStyle="1" w:styleId="293">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94">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5">
    <w:name w:val="xl43"/>
    <w:basedOn w:val="240"/>
    <w:qFormat/>
    <w:uiPriority w:val="99"/>
    <w:pPr>
      <w:pBdr>
        <w:bottom w:val="single" w:color="auto" w:sz="4" w:space="0"/>
        <w:right w:val="single" w:color="auto" w:sz="4" w:space="0"/>
      </w:pBdr>
      <w:jc w:val="center"/>
    </w:pPr>
    <w:rPr>
      <w:sz w:val="21"/>
      <w:szCs w:val="21"/>
    </w:rPr>
  </w:style>
  <w:style w:type="paragraph" w:customStyle="1" w:styleId="296">
    <w:name w:val="默认段落字体 Para Char Char Char Char Char Char Char Char Char Char Char Char Char Char Char1 Char Char Char Char"/>
    <w:basedOn w:val="23"/>
    <w:qFormat/>
    <w:uiPriority w:val="99"/>
    <w:pPr>
      <w:adjustRightInd w:val="0"/>
      <w:spacing w:line="436" w:lineRule="exact"/>
      <w:ind w:left="357"/>
      <w:jc w:val="left"/>
      <w:outlineLvl w:val="3"/>
    </w:pPr>
    <w:rPr>
      <w:rFonts w:ascii="仿宋_GB2312" w:eastAsia="仿宋_GB2312" w:cs="仿宋_GB2312"/>
      <w:sz w:val="24"/>
      <w:szCs w:val="24"/>
    </w:rPr>
  </w:style>
  <w:style w:type="paragraph" w:customStyle="1" w:styleId="297">
    <w:name w:val="日期4"/>
    <w:basedOn w:val="1"/>
    <w:next w:val="1"/>
    <w:qFormat/>
    <w:uiPriority w:val="0"/>
    <w:pPr>
      <w:adjustRightInd w:val="0"/>
      <w:textAlignment w:val="baseline"/>
    </w:pPr>
    <w:rPr>
      <w:rFonts w:ascii="Calibri" w:hAnsi="Calibri" w:cs="黑体"/>
    </w:rPr>
  </w:style>
  <w:style w:type="paragraph" w:customStyle="1" w:styleId="298">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0">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01">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02">
    <w:name w:val="标题 1（绿盟科技）"/>
    <w:basedOn w:val="3"/>
    <w:next w:val="1"/>
    <w:semiHidden/>
    <w:qFormat/>
    <w:uiPriority w:val="99"/>
    <w:pPr>
      <w:pBdr>
        <w:bottom w:val="single" w:color="auto" w:sz="48" w:space="1"/>
      </w:pBdr>
      <w:tabs>
        <w:tab w:val="left" w:pos="360"/>
      </w:tabs>
      <w:spacing w:line="576" w:lineRule="auto"/>
      <w:ind w:left="360" w:hanging="360"/>
      <w:jc w:val="left"/>
    </w:pPr>
    <w:rPr>
      <w:rFonts w:ascii="Arial" w:hAnsi="Arial" w:eastAsia="黑体" w:cs="Arial"/>
    </w:rPr>
  </w:style>
  <w:style w:type="paragraph" w:customStyle="1" w:styleId="303">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04">
    <w:name w:val="Char"/>
    <w:basedOn w:val="1"/>
    <w:qFormat/>
    <w:uiPriority w:val="99"/>
    <w:pPr>
      <w:tabs>
        <w:tab w:val="left" w:pos="708"/>
      </w:tabs>
      <w:ind w:firstLine="420"/>
    </w:pPr>
    <w:rPr>
      <w:rFonts w:ascii="仿宋_GB2312" w:eastAsia="仿宋_GB2312" w:cs="仿宋_GB2312"/>
      <w:sz w:val="24"/>
      <w:szCs w:val="24"/>
    </w:rPr>
  </w:style>
  <w:style w:type="paragraph" w:customStyle="1" w:styleId="305">
    <w:name w:val="p0"/>
    <w:basedOn w:val="1"/>
    <w:semiHidden/>
    <w:qFormat/>
    <w:uiPriority w:val="99"/>
    <w:pPr>
      <w:widowControl/>
      <w:spacing w:after="200" w:line="273" w:lineRule="auto"/>
      <w:jc w:val="left"/>
    </w:pPr>
    <w:rPr>
      <w:rFonts w:ascii="Calibri" w:hAnsi="Calibri" w:cs="Calibri"/>
      <w:kern w:val="0"/>
      <w:sz w:val="22"/>
      <w:szCs w:val="22"/>
    </w:rPr>
  </w:style>
  <w:style w:type="paragraph" w:customStyle="1" w:styleId="306">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07">
    <w:name w:val="列出段落3"/>
    <w:basedOn w:val="1"/>
    <w:qFormat/>
    <w:uiPriority w:val="0"/>
    <w:pPr>
      <w:ind w:firstLine="420" w:firstLineChars="200"/>
    </w:pPr>
    <w:rPr>
      <w:rFonts w:ascii="Calibri" w:hAnsi="Calibri"/>
      <w:sz w:val="22"/>
      <w:szCs w:val="22"/>
    </w:rPr>
  </w:style>
  <w:style w:type="paragraph" w:customStyle="1" w:styleId="308">
    <w:name w:val="五级无标题条"/>
    <w:basedOn w:val="1"/>
    <w:qFormat/>
    <w:uiPriority w:val="99"/>
    <w:pPr>
      <w:tabs>
        <w:tab w:val="left" w:pos="840"/>
      </w:tabs>
      <w:ind w:left="840" w:hanging="630"/>
    </w:pPr>
  </w:style>
  <w:style w:type="paragraph" w:customStyle="1" w:styleId="309">
    <w:name w:val="注×："/>
    <w:semiHidden/>
    <w:qFormat/>
    <w:uiPriority w:val="99"/>
    <w:pPr>
      <w:widowControl w:val="0"/>
      <w:tabs>
        <w:tab w:val="left" w:pos="360"/>
        <w:tab w:val="left" w:pos="630"/>
      </w:tabs>
      <w:autoSpaceDE w:val="0"/>
      <w:autoSpaceDN w:val="0"/>
      <w:ind w:left="360" w:hanging="360"/>
      <w:jc w:val="both"/>
    </w:pPr>
    <w:rPr>
      <w:rFonts w:ascii="宋体" w:hAnsi="Times New Roman" w:eastAsia="宋体" w:cs="宋体"/>
      <w:sz w:val="18"/>
      <w:szCs w:val="18"/>
      <w:lang w:val="en-US" w:eastAsia="zh-CN" w:bidi="ar-SA"/>
    </w:rPr>
  </w:style>
  <w:style w:type="paragraph" w:customStyle="1" w:styleId="310">
    <w:name w:val="文字正文"/>
    <w:basedOn w:val="1"/>
    <w:qFormat/>
    <w:uiPriority w:val="0"/>
    <w:rPr>
      <w:szCs w:val="24"/>
    </w:rPr>
  </w:style>
  <w:style w:type="paragraph" w:customStyle="1" w:styleId="311">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312">
    <w:name w:val="表内文字"/>
    <w:basedOn w:val="1"/>
    <w:qFormat/>
    <w:uiPriority w:val="0"/>
    <w:pPr>
      <w:spacing w:line="360" w:lineRule="auto"/>
      <w:jc w:val="center"/>
    </w:pPr>
    <w:rPr>
      <w:rFonts w:ascii="宋体" w:hAnsi="宋体"/>
      <w:b/>
      <w:bCs/>
      <w:sz w:val="28"/>
      <w:szCs w:val="24"/>
    </w:rPr>
  </w:style>
  <w:style w:type="paragraph" w:customStyle="1" w:styleId="313">
    <w:name w:val="Char Char Char"/>
    <w:basedOn w:val="1"/>
    <w:qFormat/>
    <w:uiPriority w:val="99"/>
    <w:rPr>
      <w:rFonts w:ascii="宋体" w:hAnsi="宋体" w:cs="宋体"/>
      <w:b/>
      <w:bCs/>
      <w:sz w:val="28"/>
      <w:szCs w:val="28"/>
    </w:rPr>
  </w:style>
  <w:style w:type="paragraph" w:customStyle="1" w:styleId="314">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15">
    <w:name w:val="标题 2（绿盟科技）"/>
    <w:basedOn w:val="4"/>
    <w:next w:val="1"/>
    <w:semiHidden/>
    <w:qFormat/>
    <w:uiPriority w:val="99"/>
    <w:pPr>
      <w:numPr>
        <w:ilvl w:val="0"/>
        <w:numId w:val="2"/>
      </w:numPr>
      <w:tabs>
        <w:tab w:val="left" w:pos="1440"/>
      </w:tabs>
      <w:spacing w:line="415" w:lineRule="auto"/>
    </w:pPr>
  </w:style>
  <w:style w:type="paragraph" w:customStyle="1" w:styleId="316">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17">
    <w:name w:val="正文2"/>
    <w:basedOn w:val="1"/>
    <w:semiHidden/>
    <w:qFormat/>
    <w:uiPriority w:val="99"/>
    <w:pPr>
      <w:spacing w:before="156" w:line="360" w:lineRule="auto"/>
      <w:ind w:firstLine="510" w:firstLineChars="200"/>
    </w:pPr>
    <w:rPr>
      <w:sz w:val="24"/>
      <w:szCs w:val="24"/>
    </w:rPr>
  </w:style>
  <w:style w:type="paragraph" w:customStyle="1" w:styleId="318">
    <w:name w:val="表格标注（绿盟科技）"/>
    <w:basedOn w:val="319"/>
    <w:next w:val="1"/>
    <w:semiHidden/>
    <w:qFormat/>
    <w:uiPriority w:val="99"/>
    <w:pPr>
      <w:numPr>
        <w:ilvl w:val="4"/>
      </w:numPr>
      <w:tabs>
        <w:tab w:val="left" w:pos="1620"/>
        <w:tab w:val="left" w:pos="1680"/>
      </w:tabs>
      <w:ind w:left="1620" w:hanging="360"/>
    </w:pPr>
  </w:style>
  <w:style w:type="paragraph" w:customStyle="1" w:styleId="319">
    <w:name w:val="插图标注（绿盟科技）"/>
    <w:next w:val="1"/>
    <w:semiHidden/>
    <w:qFormat/>
    <w:uiPriority w:val="99"/>
    <w:pPr>
      <w:numPr>
        <w:ilvl w:val="3"/>
        <w:numId w:val="2"/>
      </w:numPr>
      <w:spacing w:after="156"/>
      <w:ind w:left="426" w:firstLine="0"/>
      <w:jc w:val="center"/>
    </w:pPr>
    <w:rPr>
      <w:rFonts w:ascii="Arial" w:hAnsi="Arial" w:eastAsia="宋体" w:cs="Arial"/>
      <w:sz w:val="21"/>
      <w:szCs w:val="21"/>
      <w:lang w:val="en-US" w:eastAsia="zh-CN" w:bidi="ar-SA"/>
    </w:rPr>
  </w:style>
  <w:style w:type="paragraph" w:customStyle="1" w:styleId="320">
    <w:name w:val="样式 正文 + 小四 首行缩进:  2 字符"/>
    <w:basedOn w:val="1"/>
    <w:qFormat/>
    <w:uiPriority w:val="0"/>
    <w:pPr>
      <w:numPr>
        <w:ilvl w:val="1"/>
        <w:numId w:val="5"/>
      </w:numPr>
      <w:spacing w:line="440" w:lineRule="exact"/>
    </w:pPr>
    <w:rPr>
      <w:rFonts w:cs="宋体"/>
      <w:kern w:val="0"/>
      <w:sz w:val="24"/>
      <w:szCs w:val="20"/>
    </w:rPr>
  </w:style>
  <w:style w:type="paragraph" w:customStyle="1" w:styleId="321">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22">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23">
    <w:name w:val="Char Char Char Char"/>
    <w:basedOn w:val="1"/>
    <w:qFormat/>
    <w:uiPriority w:val="99"/>
    <w:rPr>
      <w:rFonts w:ascii="Tahoma" w:hAnsi="Tahoma" w:cs="Tahoma"/>
      <w:sz w:val="24"/>
      <w:szCs w:val="24"/>
    </w:rPr>
  </w:style>
  <w:style w:type="paragraph" w:customStyle="1" w:styleId="324">
    <w:name w:val="1列"/>
    <w:basedOn w:val="1"/>
    <w:qFormat/>
    <w:uiPriority w:val="0"/>
    <w:pPr>
      <w:numPr>
        <w:ilvl w:val="0"/>
        <w:numId w:val="6"/>
      </w:numPr>
      <w:spacing w:line="360" w:lineRule="auto"/>
    </w:pPr>
    <w:rPr>
      <w:szCs w:val="24"/>
    </w:rPr>
  </w:style>
  <w:style w:type="paragraph" w:customStyle="1" w:styleId="325">
    <w:name w:val="xl4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26">
    <w:name w:val="列出段落4"/>
    <w:basedOn w:val="1"/>
    <w:qFormat/>
    <w:uiPriority w:val="0"/>
    <w:pPr>
      <w:ind w:firstLine="420" w:firstLineChars="200"/>
    </w:pPr>
    <w:rPr>
      <w:rFonts w:ascii="Calibri" w:hAnsi="Calibri" w:eastAsia="Times New Roman"/>
      <w:sz w:val="22"/>
      <w:szCs w:val="22"/>
    </w:rPr>
  </w:style>
  <w:style w:type="paragraph" w:customStyle="1" w:styleId="327">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28">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29">
    <w:name w:val="标题 6（有编号）（绿盟科技）"/>
    <w:basedOn w:val="1"/>
    <w:next w:val="1"/>
    <w:semiHidden/>
    <w:qFormat/>
    <w:uiPriority w:val="99"/>
    <w:pPr>
      <w:keepNext/>
      <w:keepLines/>
      <w:numPr>
        <w:ilvl w:val="2"/>
        <w:numId w:val="2"/>
      </w:numPr>
      <w:spacing w:line="319" w:lineRule="auto"/>
      <w:ind w:left="1673" w:hanging="1247"/>
      <w:jc w:val="left"/>
      <w:outlineLvl w:val="5"/>
    </w:pPr>
    <w:rPr>
      <w:rFonts w:ascii="Arial" w:hAnsi="Arial" w:eastAsia="黑体" w:cs="Arial"/>
      <w:b/>
      <w:bCs/>
      <w:kern w:val="0"/>
    </w:rPr>
  </w:style>
  <w:style w:type="paragraph" w:customStyle="1" w:styleId="330">
    <w:name w:val="简单回函地址"/>
    <w:basedOn w:val="1"/>
    <w:qFormat/>
    <w:uiPriority w:val="99"/>
  </w:style>
  <w:style w:type="paragraph" w:customStyle="1" w:styleId="331">
    <w:name w:val="需求书2"/>
    <w:basedOn w:val="1"/>
    <w:qFormat/>
    <w:uiPriority w:val="0"/>
    <w:pPr>
      <w:spacing w:line="400" w:lineRule="exact"/>
    </w:pPr>
    <w:rPr>
      <w:rFonts w:ascii="黑体" w:hAnsi="Calibri" w:eastAsia="黑体"/>
      <w:b/>
      <w:bCs/>
      <w:sz w:val="32"/>
      <w:szCs w:val="20"/>
    </w:rPr>
  </w:style>
  <w:style w:type="paragraph" w:customStyle="1" w:styleId="332">
    <w:name w:val="标题 3（绿盟科技）"/>
    <w:basedOn w:val="5"/>
    <w:next w:val="1"/>
    <w:semiHidden/>
    <w:qFormat/>
    <w:uiPriority w:val="99"/>
    <w:pPr>
      <w:tabs>
        <w:tab w:val="left" w:pos="960"/>
        <w:tab w:val="left" w:pos="1260"/>
      </w:tabs>
      <w:spacing w:line="415" w:lineRule="auto"/>
      <w:ind w:left="1260" w:firstLine="147" w:firstLineChars="147"/>
    </w:pPr>
    <w:rPr>
      <w:rFonts w:ascii="Arial" w:hAnsi="Arial" w:eastAsia="黑体" w:cs="Arial"/>
      <w:sz w:val="30"/>
      <w:szCs w:val="30"/>
    </w:rPr>
  </w:style>
  <w:style w:type="table" w:customStyle="1" w:styleId="333">
    <w:name w:val="浅色网格1"/>
    <w:basedOn w:val="76"/>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eastAsia="宋体" w:cs="Times New Roman"/>
        <w:b/>
        <w:bCs/>
      </w:rPr>
      <w:tcPr>
        <w:tcBorders>
          <w:top w:val="single" w:color="000000" w:sz="8" w:space="0"/>
          <w:left w:val="single" w:color="000000" w:sz="18" w:space="0"/>
          <w:bottom w:val="single" w:color="000000" w:sz="8" w:space="0"/>
          <w:right w:val="single" w:color="000000" w:sz="8" w:space="0"/>
          <w:insideH w:val="nil"/>
          <w:insideV w:val="single" w:sz="8" w:space="0"/>
          <w:tl2br w:val="nil"/>
          <w:tr2bl w:val="nil"/>
        </w:tcBorders>
      </w:tcPr>
    </w:tblStylePr>
    <w:tblStylePr w:type="lastRow">
      <w:pPr>
        <w:spacing w:before="0" w:after="0" w:line="240" w:lineRule="auto"/>
      </w:pPr>
      <w:rPr>
        <w:rFonts w:eastAsia="宋体"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宋体" w:cs="Times New Roman"/>
        <w:b/>
        <w:bCs/>
      </w:rPr>
    </w:tblStylePr>
    <w:tblStylePr w:type="lastCol">
      <w:rPr>
        <w:rFonts w:eastAsia="宋体"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table" w:customStyle="1" w:styleId="334">
    <w:name w:val="网格型4"/>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5">
    <w:name w:val="正文文本 Char"/>
    <w:semiHidden/>
    <w:qFormat/>
    <w:locked/>
    <w:uiPriority w:val="99"/>
    <w:rPr>
      <w:rFonts w:cs="Times New Roman"/>
      <w:sz w:val="21"/>
      <w:szCs w:val="21"/>
    </w:rPr>
  </w:style>
  <w:style w:type="character" w:customStyle="1" w:styleId="336">
    <w:name w:val="正文缩进 Char"/>
    <w:qFormat/>
    <w:locked/>
    <w:uiPriority w:val="99"/>
    <w:rPr>
      <w:rFonts w:eastAsia="宋体" w:cs="Times New Roman"/>
      <w:sz w:val="21"/>
      <w:szCs w:val="21"/>
    </w:rPr>
  </w:style>
  <w:style w:type="paragraph" w:customStyle="1" w:styleId="337">
    <w:name w:val="标书正文格式"/>
    <w:basedOn w:val="40"/>
    <w:qFormat/>
    <w:uiPriority w:val="0"/>
    <w:pPr>
      <w:spacing w:line="360" w:lineRule="auto"/>
      <w:ind w:firstLine="200" w:firstLineChars="200"/>
    </w:pPr>
    <w:rPr>
      <w:rFonts w:hAnsi="宋体"/>
      <w:color w:val="000000"/>
      <w:sz w:val="24"/>
      <w:szCs w:val="24"/>
    </w:rPr>
  </w:style>
  <w:style w:type="character" w:customStyle="1" w:styleId="338">
    <w:name w:val="未处理的提及1"/>
    <w:unhideWhenUsed/>
    <w:qFormat/>
    <w:uiPriority w:val="99"/>
    <w:rPr>
      <w:color w:val="605E5C"/>
      <w:shd w:val="clear" w:color="auto" w:fill="E1DFDD"/>
    </w:rPr>
  </w:style>
  <w:style w:type="character" w:customStyle="1" w:styleId="339">
    <w:name w:val="font01"/>
    <w:qFormat/>
    <w:uiPriority w:val="0"/>
    <w:rPr>
      <w:rFonts w:hint="eastAsia" w:ascii="宋体" w:hAnsi="宋体" w:eastAsia="宋体" w:cs="宋体"/>
      <w:color w:val="333333"/>
      <w:sz w:val="22"/>
      <w:szCs w:val="22"/>
      <w:u w:val="none"/>
    </w:rPr>
  </w:style>
  <w:style w:type="character" w:customStyle="1" w:styleId="340">
    <w:name w:val="font61"/>
    <w:basedOn w:val="121"/>
    <w:qFormat/>
    <w:uiPriority w:val="0"/>
    <w:rPr>
      <w:rFonts w:hint="eastAsia" w:ascii="宋体" w:hAnsi="宋体" w:eastAsia="宋体" w:cs="宋体"/>
      <w:color w:val="000000"/>
      <w:sz w:val="24"/>
      <w:szCs w:val="24"/>
      <w:u w:val="none"/>
      <w:vertAlign w:val="subscript"/>
    </w:rPr>
  </w:style>
  <w:style w:type="character" w:customStyle="1" w:styleId="341">
    <w:name w:val="font21"/>
    <w:basedOn w:val="121"/>
    <w:qFormat/>
    <w:uiPriority w:val="0"/>
    <w:rPr>
      <w:rFonts w:hint="eastAsia" w:ascii="宋体" w:hAnsi="宋体" w:eastAsia="宋体" w:cs="宋体"/>
      <w:color w:val="000000"/>
      <w:sz w:val="20"/>
      <w:szCs w:val="20"/>
      <w:u w:val="none"/>
    </w:rPr>
  </w:style>
  <w:style w:type="character" w:customStyle="1" w:styleId="342">
    <w:name w:val="font11"/>
    <w:basedOn w:val="121"/>
    <w:qFormat/>
    <w:uiPriority w:val="0"/>
    <w:rPr>
      <w:rFonts w:hint="eastAsia" w:ascii="宋体" w:hAnsi="宋体" w:eastAsia="宋体" w:cs="宋体"/>
      <w:color w:val="000000"/>
      <w:sz w:val="28"/>
      <w:szCs w:val="28"/>
      <w:u w:val="none"/>
    </w:rPr>
  </w:style>
  <w:style w:type="character" w:customStyle="1" w:styleId="343">
    <w:name w:val="font31"/>
    <w:basedOn w:val="121"/>
    <w:qFormat/>
    <w:uiPriority w:val="0"/>
    <w:rPr>
      <w:rFonts w:hint="eastAsia" w:ascii="宋体" w:hAnsi="宋体" w:eastAsia="宋体" w:cs="宋体"/>
      <w:b/>
      <w:bCs/>
      <w:color w:val="000000"/>
      <w:sz w:val="28"/>
      <w:szCs w:val="28"/>
      <w:u w:val="none"/>
    </w:rPr>
  </w:style>
  <w:style w:type="character" w:customStyle="1" w:styleId="344">
    <w:name w:val="font41"/>
    <w:basedOn w:val="121"/>
    <w:qFormat/>
    <w:uiPriority w:val="0"/>
    <w:rPr>
      <w:rFonts w:ascii="Arial" w:hAnsi="Arial" w:cs="Arial"/>
      <w:color w:val="000000"/>
      <w:sz w:val="20"/>
      <w:szCs w:val="20"/>
      <w:u w:val="none"/>
    </w:rPr>
  </w:style>
  <w:style w:type="character" w:customStyle="1" w:styleId="345">
    <w:name w:val="font51"/>
    <w:basedOn w:val="121"/>
    <w:qFormat/>
    <w:uiPriority w:val="0"/>
    <w:rPr>
      <w:rFonts w:hint="eastAsia" w:ascii="宋体" w:hAnsi="宋体" w:eastAsia="宋体" w:cs="宋体"/>
      <w:color w:val="000000"/>
      <w:sz w:val="24"/>
      <w:szCs w:val="24"/>
      <w:u w:val="none"/>
    </w:rPr>
  </w:style>
  <w:style w:type="character" w:styleId="346">
    <w:name w:val="Placeholder Text"/>
    <w:basedOn w:val="121"/>
    <w:unhideWhenUsed/>
    <w:qFormat/>
    <w:uiPriority w:val="99"/>
    <w:rPr>
      <w:color w:val="808080"/>
    </w:rPr>
  </w:style>
  <w:style w:type="character" w:customStyle="1" w:styleId="347">
    <w:name w:val="未处理的提及2"/>
    <w:basedOn w:val="12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1435</Words>
  <Characters>1503</Characters>
  <Lines>86</Lines>
  <Paragraphs>24</Paragraphs>
  <TotalTime>4</TotalTime>
  <ScaleCrop>false</ScaleCrop>
  <LinksUpToDate>false</LinksUpToDate>
  <CharactersWithSpaces>1607</CharactersWithSpaces>
  <Application>WPS Office_11.8.2.10170_F1E327BC-269C-435d-A152-05C5408002CA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2023-08-10T14:51:00Z</dcterms:created>
  <dc:creator>USER</dc:creator>
  <cp:lastModifiedBy>root</cp:lastModifiedBy>
  <cp:lastPrinted>2023-03-14T10:44:00Z</cp:lastPrinted>
  <dcterms:modified xsi:type="dcterms:W3CDTF">2024-10-29T14:23:35Z</dcterms:modified>
  <dc:title>招标文件目录</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2052-11.8.2.10170</vt:lpwstr>
  </property>
  <property fmtid="{D5CDD505-2E9C-101B-9397-08002B2CF9AE}" pid="3" name="ICV">
    <vt:lpwstr>98534210308641C792EE3184E352AEE8_13</vt:lpwstr>
  </property>
</Properties>
</file>