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rPr>
          <w:rFonts w:hint="eastAsia" w:ascii="Calibri" w:hAnsi="宋体" w:eastAsia="宋体" w:cs="Times New Roman"/>
          <w:b/>
          <w:bCs/>
          <w:color w:val="000000"/>
          <w:spacing w:val="-8"/>
          <w:sz w:val="48"/>
          <w:szCs w:val="44"/>
          <w:lang w:eastAsia="zh-CN"/>
        </w:rPr>
      </w:pPr>
      <w:bookmarkStart w:id="0" w:name="OLE_LINK31"/>
      <w:bookmarkStart w:id="1" w:name="OLE_LINK30"/>
    </w:p>
    <w:p>
      <w:pPr>
        <w:pStyle w:val="20"/>
        <w:rPr>
          <w:rFonts w:hint="eastAsia" w:ascii="Calibri" w:hAnsi="宋体" w:eastAsia="宋体" w:cs="Times New Roman"/>
          <w:b/>
          <w:bCs/>
          <w:color w:val="000000"/>
          <w:spacing w:val="-8"/>
          <w:sz w:val="48"/>
          <w:szCs w:val="44"/>
          <w:lang w:eastAsia="zh-CN"/>
        </w:rPr>
      </w:pPr>
    </w:p>
    <w:p>
      <w:pPr>
        <w:pStyle w:val="20"/>
        <w:rPr>
          <w:rFonts w:hint="eastAsia" w:ascii="Calibri" w:hAnsi="宋体" w:eastAsia="宋体" w:cs="Times New Roman"/>
          <w:b/>
          <w:bCs/>
          <w:color w:val="000000"/>
          <w:spacing w:val="-8"/>
          <w:sz w:val="48"/>
          <w:szCs w:val="44"/>
          <w:lang w:eastAsia="zh-CN"/>
        </w:rPr>
      </w:pPr>
    </w:p>
    <w:p>
      <w:pPr>
        <w:pStyle w:val="20"/>
        <w:rPr>
          <w:rFonts w:hint="eastAsia" w:ascii="Calibri" w:hAnsi="宋体" w:eastAsia="宋体" w:cs="Times New Roman"/>
          <w:b/>
          <w:bCs/>
          <w:color w:val="000000"/>
          <w:spacing w:val="-8"/>
          <w:sz w:val="48"/>
          <w:szCs w:val="44"/>
          <w:lang w:eastAsia="zh-CN"/>
        </w:rPr>
      </w:pPr>
    </w:p>
    <w:p>
      <w:pPr>
        <w:pStyle w:val="20"/>
        <w:jc w:val="center"/>
        <w:rPr>
          <w:rFonts w:hint="eastAsia"/>
          <w:lang w:eastAsia="zh-CN"/>
        </w:rPr>
      </w:pPr>
      <w:r>
        <w:rPr>
          <w:rFonts w:hint="eastAsia" w:ascii="Calibri" w:hAnsi="宋体" w:eastAsia="宋体" w:cs="Times New Roman"/>
          <w:b/>
          <w:bCs/>
          <w:color w:val="000000"/>
          <w:spacing w:val="-8"/>
          <w:sz w:val="48"/>
          <w:szCs w:val="44"/>
          <w:lang w:eastAsia="zh-CN"/>
        </w:rPr>
        <w:t>汽车研究总院ESP附加功能标定工具项目</w:t>
      </w:r>
    </w:p>
    <w:p>
      <w:pPr>
        <w:pStyle w:val="20"/>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0"/>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汽车研究总院ESP附加功能标定工具项目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color w:val="auto"/>
                <w:sz w:val="24"/>
                <w:szCs w:val="24"/>
                <w:highlight w:val="yellow"/>
                <w:u w:val="single"/>
                <w:lang w:val="en-US" w:eastAsia="zh-CN"/>
              </w:rPr>
              <w:t>CGZX2024090154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color w:val="auto"/>
                <w:sz w:val="24"/>
                <w:szCs w:val="24"/>
                <w:highlight w:val="yellow"/>
                <w:u w:val="single"/>
                <w:lang w:val="en-US" w:eastAsia="zh-CN"/>
              </w:rPr>
              <w:t>：ESP XCP ECU和标定刷写软件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历城区</w:t>
            </w:r>
            <w:r>
              <w:rPr>
                <w:rFonts w:hint="eastAsia" w:ascii="宋体" w:hAnsi="宋体" w:eastAsia="宋体" w:cs="宋体"/>
                <w:sz w:val="24"/>
                <w:szCs w:val="24"/>
                <w:highlight w:val="none"/>
                <w:u w:val="none"/>
              </w:rPr>
              <w:t>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赵翊旭</w:t>
            </w:r>
          </w:p>
          <w:p>
            <w:pPr>
              <w:pStyle w:val="20"/>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15165052573</w:t>
            </w:r>
          </w:p>
          <w:p>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zhaoyixu@sinotruk.com</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 w:val="0"/>
                <w:bCs/>
                <w:snapToGrid w:val="0"/>
                <w:kern w:val="0"/>
                <w:sz w:val="24"/>
                <w:szCs w:val="24"/>
                <w:highlight w:val="yellow"/>
                <w:lang w:eastAsia="zh-CN"/>
              </w:rPr>
              <w:t>张温</w:t>
            </w:r>
          </w:p>
          <w:p>
            <w:pPr>
              <w:pStyle w:val="20"/>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18765315981</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val="0"/>
                <w:bCs/>
                <w:snapToGrid w:val="0"/>
                <w:kern w:val="0"/>
                <w:sz w:val="24"/>
                <w:szCs w:val="24"/>
                <w:highlight w:val="yellow"/>
                <w:lang w:val="en-US" w:eastAsia="zh-CN"/>
              </w:rPr>
              <w:t>zhangwenhwkc@sinotruk.com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20"/>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79.5</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5</w:t>
            </w:r>
            <w:r>
              <w:rPr>
                <w:rFonts w:hint="eastAsia" w:hAnsi="宋体" w:eastAsia="宋体" w:cs="宋体"/>
                <w:b/>
                <w:color w:val="000000"/>
                <w:sz w:val="24"/>
                <w:szCs w:val="24"/>
                <w:highlight w:val="yellow"/>
                <w:u w:val="single"/>
                <w:lang w:val="en-US" w:eastAsia="zh-CN"/>
              </w:rPr>
              <w:t>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0"/>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20"/>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20"/>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20"/>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0"/>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2</w:t>
            </w:r>
            <w:r>
              <w:rPr>
                <w:rFonts w:hint="eastAsia" w:eastAsia="宋体" w:cs="宋体"/>
                <w:highlight w:val="yellow"/>
              </w:rPr>
              <w:t>日</w:t>
            </w:r>
            <w:r>
              <w:rPr>
                <w:rFonts w:hint="eastAsia" w:eastAsia="宋体" w:cs="宋体"/>
                <w:highlight w:val="yellow"/>
                <w:lang w:val="en-US" w:eastAsia="zh-CN"/>
              </w:rPr>
              <w:t>17时00分00秒</w:t>
            </w:r>
          </w:p>
          <w:p>
            <w:pPr>
              <w:pStyle w:val="117"/>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2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val="0"/>
                <w:bCs w:val="0"/>
                <w:color w:val="000000"/>
                <w:sz w:val="24"/>
                <w:szCs w:val="24"/>
                <w:highlight w:val="yellow"/>
                <w:lang w:val="en-US" w:eastAsia="zh-CN"/>
              </w:rPr>
              <w:t>赵翊旭</w:t>
            </w:r>
            <w:r>
              <w:rPr>
                <w:rFonts w:hint="eastAsia" w:ascii="Times New Roman" w:hAnsi="Times New Roman" w:eastAsia="宋体" w:cs="Times New Roman"/>
                <w:b w:val="0"/>
                <w:bCs w:val="0"/>
                <w:color w:val="000000"/>
                <w:sz w:val="24"/>
                <w:szCs w:val="24"/>
                <w:highlight w:val="yellow"/>
                <w:lang w:val="en-US" w:eastAsia="zh-CN"/>
              </w:rPr>
              <w:t>/15165052573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20"/>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w:t>
            </w:r>
            <w:r>
              <w:rPr>
                <w:rFonts w:hint="eastAsia" w:ascii="宋体" w:hAnsi="宋体" w:eastAsia="宋体" w:cs="宋体"/>
                <w:color w:val="auto"/>
                <w:sz w:val="24"/>
                <w:szCs w:val="24"/>
                <w:highlight w:val="yellow"/>
                <w:lang w:val="en-US" w:eastAsia="zh-CN"/>
              </w:rPr>
              <w:t>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4</w:t>
            </w:r>
            <w:bookmarkStart w:id="123" w:name="_GoBack"/>
            <w:bookmarkEnd w:id="123"/>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自合同签定生效之日起，120个日历日之内交货至供货地点。</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接续30个日历日之内安装调试完毕。</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接续30个日历日之内完成终验收。</w:t>
            </w:r>
          </w:p>
          <w:p>
            <w:pPr>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yellow"/>
                <w:lang w:val="en-US" w:eastAsia="zh-CN"/>
              </w:rPr>
              <w:t>安装调试工期超过20个日历日的，投标人应当随标书提供详细的工期计划。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keepNext w:val="0"/>
              <w:keepLines w:val="0"/>
              <w:widowControl/>
              <w:suppressLineNumbers w:val="0"/>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kern w:val="2"/>
                <w:sz w:val="24"/>
                <w:szCs w:val="24"/>
                <w:lang w:val="en-US" w:eastAsia="zh-CN" w:bidi="ar-SA"/>
              </w:rPr>
              <w:t>中国重汽未来科技大厦。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%，正本一份，复印件二份），经买方依照财务制度审核无误后【</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】日后支付。</w:t>
            </w:r>
          </w:p>
          <w:p>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 xml:space="preserve">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%，正本一份，复印件二份）并附带该套合同设备最终验收报告的原件及其复印件两份，经买方依照财务制度审核无误后【</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】日后支付</w:t>
            </w:r>
            <w:r>
              <w:rPr>
                <w:rFonts w:hint="eastAsia" w:ascii="宋体" w:hAnsi="宋体" w:eastAsia="宋体" w:cs="宋体"/>
                <w:color w:val="000000"/>
                <w:sz w:val="24"/>
                <w:szCs w:val="24"/>
                <w:highlight w:val="yellow"/>
                <w:lang w:eastAsia="zh-CN"/>
              </w:rPr>
              <w:t>。</w:t>
            </w:r>
          </w:p>
          <w:p>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5"/>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7"/>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20"/>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0"/>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2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7"/>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14"/>
      <w:bookmarkStart w:id="7" w:name="_Toc33266627"/>
      <w:bookmarkStart w:id="8" w:name="_Toc33266950"/>
      <w:bookmarkStart w:id="9" w:name="_Toc33267001"/>
      <w:bookmarkStart w:id="10" w:name="_Toc33265653"/>
      <w:bookmarkStart w:id="11" w:name="_Toc33285487"/>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5753"/>
      <w:bookmarkStart w:id="15" w:name="_Toc33266628"/>
      <w:bookmarkStart w:id="16" w:name="_Toc33266915"/>
      <w:bookmarkStart w:id="17" w:name="_Toc33285489"/>
      <w:bookmarkStart w:id="18" w:name="_Toc33267002"/>
      <w:bookmarkStart w:id="19" w:name="_Toc33265654"/>
      <w:bookmarkStart w:id="20" w:name="_Toc395116634"/>
      <w:bookmarkStart w:id="21" w:name="_Toc33266951"/>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6"/>
      <w:bookmarkStart w:id="24" w:name="OLE_LINK29"/>
      <w:bookmarkStart w:id="25" w:name="OLE_LINK27"/>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0"/>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0"/>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auto"/>
          <w:sz w:val="24"/>
          <w:szCs w:val="24"/>
          <w:highlight w:val="yellow"/>
        </w:rPr>
        <w:t>包括所代理品牌</w:t>
      </w:r>
      <w:r>
        <w:rPr>
          <w:rFonts w:hint="eastAsia" w:hAnsi="宋体" w:eastAsia="宋体" w:cs="宋体"/>
          <w:color w:val="auto"/>
          <w:sz w:val="24"/>
          <w:szCs w:val="24"/>
          <w:highlight w:val="yellow"/>
          <w:lang w:eastAsia="zh-CN"/>
        </w:rPr>
        <w:t>针对本项目唯一</w:t>
      </w:r>
      <w:r>
        <w:rPr>
          <w:rFonts w:hint="eastAsia" w:hAnsi="宋体" w:eastAsia="宋体" w:cs="宋体"/>
          <w:color w:val="auto"/>
          <w:sz w:val="24"/>
          <w:szCs w:val="24"/>
          <w:highlight w:val="yellow"/>
        </w:rPr>
        <w:t>的授权书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20"/>
      </w:pPr>
    </w:p>
    <w:p>
      <w:pPr>
        <w:keepNext/>
        <w:keepLines/>
        <w:jc w:val="center"/>
        <w:outlineLvl w:val="0"/>
        <w:rPr>
          <w:rFonts w:ascii="Calibri" w:hAnsi="Calibri" w:eastAsia="宋体" w:cs="Times New Roman"/>
          <w:b/>
          <w:bCs/>
          <w:kern w:val="44"/>
          <w:sz w:val="36"/>
          <w:szCs w:val="44"/>
        </w:rPr>
      </w:pPr>
    </w:p>
    <w:p>
      <w:pPr>
        <w:spacing w:line="276" w:lineRule="auto"/>
        <w:jc w:val="center"/>
        <w:rPr>
          <w:rFonts w:hint="eastAsia" w:ascii="Calibri" w:hAnsi="宋体" w:eastAsia="宋体" w:cs="Times New Roman"/>
          <w:b/>
          <w:bCs/>
          <w:color w:val="000000"/>
          <w:spacing w:val="-8"/>
          <w:sz w:val="48"/>
          <w:szCs w:val="44"/>
        </w:rPr>
      </w:pPr>
    </w:p>
    <w:p>
      <w:pPr>
        <w:spacing w:line="276" w:lineRule="auto"/>
        <w:jc w:val="center"/>
        <w:rPr>
          <w:rFonts w:hint="eastAsia" w:ascii="Calibri" w:hAnsi="宋体" w:eastAsia="宋体" w:cs="Times New Roman"/>
          <w:b/>
          <w:bCs/>
          <w:color w:val="000000"/>
          <w:spacing w:val="-8"/>
          <w:sz w:val="48"/>
          <w:szCs w:val="44"/>
        </w:rPr>
      </w:pP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汽车研究总院ESP附加功能标定工具项目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
        <w:rPr>
          <w:rFonts w:ascii="Calibri" w:hAnsi="Calibri" w:eastAsia="宋体" w:cs="Times New Roman"/>
          <w:color w:val="000000"/>
          <w:sz w:val="28"/>
          <w:szCs w:val="28"/>
        </w:rPr>
      </w:pPr>
    </w:p>
    <w:p>
      <w:pPr>
        <w:rPr>
          <w:rFonts w:ascii="Calibri" w:hAnsi="Calibri" w:eastAsia="宋体" w:cs="Times New Roman"/>
          <w:color w:val="000000"/>
          <w:sz w:val="28"/>
          <w:szCs w:val="28"/>
        </w:rPr>
      </w:pPr>
    </w:p>
    <w:p>
      <w:pPr>
        <w:pStyle w:val="2"/>
      </w:pPr>
    </w:p>
    <w:p>
      <w:pPr>
        <w:pStyle w:val="20"/>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0"/>
      </w:pPr>
    </w:p>
    <w:p>
      <w:pPr>
        <w:pStyle w:val="20"/>
        <w:rPr>
          <w:rFonts w:ascii="黑体" w:hAnsi="宋体" w:eastAsia="黑体" w:cs="Times New Roman"/>
          <w:color w:val="000000"/>
          <w:sz w:val="72"/>
          <w:szCs w:val="72"/>
        </w:rPr>
      </w:pPr>
    </w:p>
    <w:p>
      <w:pPr>
        <w:pStyle w:val="20"/>
        <w:rPr>
          <w:rFonts w:ascii="黑体" w:hAnsi="宋体" w:eastAsia="黑体" w:cs="Times New Roman"/>
          <w:color w:val="000000"/>
          <w:sz w:val="72"/>
          <w:szCs w:val="72"/>
        </w:rPr>
      </w:pPr>
    </w:p>
    <w:p>
      <w:pPr>
        <w:spacing w:line="860" w:lineRule="exact"/>
        <w:rPr>
          <w:rFonts w:hint="eastAsia" w:ascii="华文仿宋" w:hAnsi="华文仿宋" w:eastAsia="华文仿宋"/>
          <w:b/>
          <w:bCs/>
          <w:sz w:val="32"/>
          <w:szCs w:val="28"/>
          <w:lang w:val="en-US" w:eastAsia="zh-CN"/>
        </w:rPr>
      </w:pPr>
      <w:r>
        <w:rPr>
          <w:rFonts w:hint="eastAsia" w:ascii="华文仿宋" w:hAnsi="华文仿宋" w:eastAsia="华文仿宋"/>
          <w:sz w:val="32"/>
          <w:szCs w:val="28"/>
        </w:rPr>
        <w:t xml:space="preserve">            </w:t>
      </w: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color w:val="000000"/>
          <w:sz w:val="28"/>
          <w:szCs w:val="28"/>
        </w:rPr>
      </w:pPr>
    </w:p>
    <w:p>
      <w:pPr>
        <w:jc w:val="center"/>
        <w:rPr>
          <w:rFonts w:ascii="Calibri" w:hAnsi="Calibri" w:eastAsia="宋体" w:cs="Times New Roman"/>
          <w:color w:val="000000"/>
          <w:sz w:val="28"/>
          <w:szCs w:val="28"/>
        </w:rPr>
      </w:pP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5"/>
        <w:widowControl/>
        <w:spacing w:before="120" w:after="120"/>
        <w:jc w:val="center"/>
        <w:rPr>
          <w:rFonts w:ascii="黑体" w:eastAsia="黑体" w:cs="黑体"/>
          <w:b w:val="0"/>
          <w:szCs w:val="24"/>
        </w:rPr>
      </w:pPr>
      <w:bookmarkStart w:id="33" w:name="_Toc326840031"/>
      <w:r>
        <w:rPr>
          <w:rFonts w:hint="eastAsia" w:ascii="黑体" w:eastAsia="黑体" w:cs="黑体"/>
          <w:b w:val="0"/>
          <w:szCs w:val="24"/>
        </w:rPr>
        <w:t>第一章  采购货物概况</w:t>
      </w:r>
      <w:bookmarkEnd w:id="33"/>
    </w:p>
    <w:p>
      <w:pPr>
        <w:pStyle w:val="6"/>
        <w:widowControl/>
        <w:spacing w:before="120" w:after="120" w:line="360" w:lineRule="auto"/>
        <w:jc w:val="center"/>
        <w:rPr>
          <w:b w:val="0"/>
          <w:sz w:val="24"/>
          <w:szCs w:val="24"/>
        </w:rPr>
      </w:pPr>
      <w:bookmarkStart w:id="34" w:name="_Toc326840032"/>
      <w:r>
        <w:rPr>
          <w:rFonts w:hint="eastAsia" w:cs="黑体"/>
          <w:b w:val="0"/>
          <w:sz w:val="24"/>
          <w:szCs w:val="24"/>
        </w:rPr>
        <w:t>第一节</w:t>
      </w:r>
      <w:r>
        <w:rPr>
          <w:b w:val="0"/>
          <w:sz w:val="24"/>
          <w:szCs w:val="24"/>
        </w:rPr>
        <w:t xml:space="preserve">  </w:t>
      </w:r>
      <w:r>
        <w:rPr>
          <w:rFonts w:hint="eastAsia" w:cs="黑体"/>
          <w:b w:val="0"/>
          <w:sz w:val="24"/>
          <w:szCs w:val="24"/>
        </w:rPr>
        <w:t>使用环境</w:t>
      </w:r>
      <w:bookmarkEnd w:id="34"/>
    </w:p>
    <w:p>
      <w:pPr>
        <w:spacing w:line="360" w:lineRule="auto"/>
        <w:rPr>
          <w:rFonts w:hint="eastAsia" w:ascii="宋体" w:hAnsi="宋体" w:eastAsia="黑体" w:cs="宋体"/>
          <w:u w:val="single"/>
          <w:lang w:eastAsia="zh-CN"/>
        </w:rPr>
      </w:pPr>
      <w:r>
        <w:rPr>
          <w:rFonts w:hint="eastAsia" w:ascii="黑体" w:hAnsi="宋体" w:eastAsia="黑体" w:cs="黑体"/>
          <w:sz w:val="24"/>
          <w:szCs w:val="24"/>
          <w:lang w:bidi="ar"/>
        </w:rPr>
        <w:t xml:space="preserve">    一、项目名称：</w:t>
      </w:r>
      <w:r>
        <w:rPr>
          <w:rFonts w:hint="eastAsia" w:ascii="宋体" w:hAnsi="宋体" w:eastAsia="黑体" w:cs="宋体"/>
          <w:sz w:val="24"/>
          <w:szCs w:val="24"/>
          <w:u w:val="single"/>
          <w:lang w:eastAsia="zh-CN" w:bidi="ar"/>
        </w:rPr>
        <w:t>汽车研究总院ESP附加功能标定工具项目</w:t>
      </w:r>
    </w:p>
    <w:p>
      <w:pPr>
        <w:spacing w:line="360" w:lineRule="auto"/>
        <w:ind w:firstLine="480" w:firstLineChars="200"/>
        <w:rPr>
          <w:rFonts w:ascii="黑体" w:hAnsi="宋体" w:eastAsia="黑体" w:cs="黑体"/>
          <w:sz w:val="24"/>
          <w:szCs w:val="24"/>
          <w:lang w:bidi="ar"/>
        </w:rPr>
      </w:pPr>
      <w:r>
        <w:rPr>
          <w:rFonts w:hint="eastAsia" w:ascii="黑体" w:hAnsi="宋体" w:eastAsia="黑体" w:cs="黑体"/>
          <w:sz w:val="24"/>
          <w:szCs w:val="24"/>
          <w:lang w:bidi="ar"/>
        </w:rPr>
        <w:t>二、建设地点：</w:t>
      </w:r>
    </w:p>
    <w:p>
      <w:pPr>
        <w:spacing w:line="360" w:lineRule="auto"/>
        <w:ind w:firstLine="480" w:firstLineChars="200"/>
        <w:jc w:val="left"/>
        <w:rPr>
          <w:rFonts w:ascii="宋体" w:hAnsi="宋体" w:cs="宋体"/>
          <w:sz w:val="24"/>
          <w:szCs w:val="24"/>
          <w:u w:val="single"/>
          <w:lang w:bidi="ar"/>
        </w:rPr>
      </w:pPr>
      <w:r>
        <w:rPr>
          <w:rFonts w:hint="eastAsia" w:ascii="宋体" w:hAnsi="宋体" w:eastAsia="宋体" w:cs="宋体"/>
          <w:color w:val="000000"/>
          <w:sz w:val="24"/>
          <w:szCs w:val="24"/>
          <w:u w:val="single"/>
        </w:rPr>
        <w:t>山东省济南市高新区华奥路777号重汽科技大厦</w:t>
      </w:r>
    </w:p>
    <w:p>
      <w:pPr>
        <w:spacing w:line="360" w:lineRule="auto"/>
        <w:ind w:firstLine="480" w:firstLineChars="200"/>
        <w:rPr>
          <w:rFonts w:ascii="黑体" w:hAnsi="宋体" w:eastAsia="黑体" w:cs="黑体"/>
          <w:sz w:val="24"/>
          <w:szCs w:val="24"/>
          <w:lang w:bidi="ar"/>
        </w:rPr>
      </w:pPr>
      <w:r>
        <w:rPr>
          <w:rFonts w:hint="eastAsia" w:ascii="黑体" w:hAnsi="宋体" w:eastAsia="黑体" w:cs="黑体"/>
          <w:sz w:val="24"/>
          <w:szCs w:val="24"/>
          <w:lang w:bidi="ar"/>
        </w:rPr>
        <w:t>三、使用地点：</w:t>
      </w:r>
    </w:p>
    <w:p>
      <w:pPr>
        <w:spacing w:line="360" w:lineRule="auto"/>
        <w:ind w:firstLine="480" w:firstLineChars="200"/>
        <w:jc w:val="left"/>
        <w:rPr>
          <w:rFonts w:ascii="宋体" w:hAnsi="宋体" w:cs="宋体"/>
          <w:sz w:val="24"/>
          <w:szCs w:val="24"/>
          <w:u w:val="single"/>
          <w:lang w:bidi="ar"/>
        </w:rPr>
      </w:pPr>
      <w:r>
        <w:rPr>
          <w:rFonts w:hint="eastAsia" w:ascii="宋体" w:hAnsi="宋体" w:eastAsia="宋体" w:cs="宋体"/>
          <w:color w:val="000000"/>
          <w:sz w:val="24"/>
          <w:szCs w:val="24"/>
          <w:u w:val="single"/>
        </w:rPr>
        <w:t>山东省济南市高新区华奥路777号重汽科技大厦</w:t>
      </w:r>
    </w:p>
    <w:p>
      <w:pPr>
        <w:spacing w:line="360" w:lineRule="auto"/>
        <w:ind w:firstLine="480" w:firstLineChars="200"/>
        <w:rPr>
          <w:rFonts w:ascii="宋体" w:hAnsi="宋体" w:cs="宋体"/>
          <w:sz w:val="24"/>
          <w:szCs w:val="24"/>
          <w:lang w:bidi="ar"/>
        </w:rPr>
      </w:pPr>
      <w:r>
        <w:rPr>
          <w:rFonts w:hint="eastAsia" w:ascii="黑体" w:hAnsi="宋体" w:eastAsia="黑体" w:cs="黑体"/>
          <w:sz w:val="24"/>
          <w:szCs w:val="24"/>
          <w:lang w:bidi="ar"/>
        </w:rPr>
        <w:t>四、工作制度：</w:t>
      </w:r>
      <w:r>
        <w:rPr>
          <w:rFonts w:hint="eastAsia" w:ascii="宋体" w:hAnsi="宋体" w:cs="宋体"/>
          <w:sz w:val="24"/>
          <w:szCs w:val="24"/>
          <w:lang w:bidi="ar"/>
        </w:rPr>
        <w:t>全年工作</w:t>
      </w:r>
      <w:r>
        <w:rPr>
          <w:rFonts w:hint="eastAsia" w:ascii="宋体" w:hAnsi="宋体" w:cs="宋体"/>
          <w:sz w:val="24"/>
          <w:szCs w:val="24"/>
          <w:u w:val="single"/>
          <w:lang w:bidi="ar"/>
        </w:rPr>
        <w:t xml:space="preserve"> </w:t>
      </w:r>
      <w:r>
        <w:rPr>
          <w:rFonts w:hint="eastAsia" w:ascii="宋体" w:hAnsi="宋体" w:cs="宋体"/>
          <w:sz w:val="24"/>
          <w:szCs w:val="24"/>
          <w:u w:val="single"/>
          <w:shd w:val="pct10" w:color="auto" w:fill="auto"/>
          <w:lang w:bidi="ar"/>
        </w:rPr>
        <w:t xml:space="preserve">365 </w:t>
      </w:r>
      <w:r>
        <w:rPr>
          <w:rFonts w:hint="eastAsia" w:ascii="宋体" w:hAnsi="宋体" w:cs="宋体"/>
          <w:sz w:val="24"/>
          <w:szCs w:val="24"/>
          <w:lang w:bidi="ar"/>
        </w:rPr>
        <w:t>天、年时基数</w:t>
      </w:r>
      <w:r>
        <w:rPr>
          <w:rFonts w:hint="eastAsia" w:ascii="宋体" w:hAnsi="宋体" w:cs="宋体"/>
          <w:sz w:val="24"/>
          <w:szCs w:val="24"/>
          <w:u w:val="single"/>
          <w:lang w:bidi="ar"/>
        </w:rPr>
        <w:t xml:space="preserve"> 2000</w:t>
      </w:r>
      <w:r>
        <w:rPr>
          <w:rFonts w:hint="eastAsia" w:ascii="宋体" w:hAnsi="宋体" w:cs="宋体"/>
          <w:sz w:val="24"/>
          <w:szCs w:val="24"/>
          <w:u w:val="single"/>
          <w:shd w:val="pct10" w:color="auto" w:fill="auto"/>
          <w:lang w:bidi="ar"/>
        </w:rPr>
        <w:t xml:space="preserve"> </w:t>
      </w:r>
      <w:r>
        <w:rPr>
          <w:rFonts w:hint="eastAsia" w:ascii="宋体" w:hAnsi="宋体" w:cs="宋体"/>
          <w:sz w:val="24"/>
          <w:szCs w:val="24"/>
          <w:lang w:bidi="ar"/>
        </w:rPr>
        <w:t>小时</w:t>
      </w:r>
    </w:p>
    <w:p>
      <w:pPr>
        <w:spacing w:line="360" w:lineRule="auto"/>
        <w:ind w:firstLine="480" w:firstLineChars="200"/>
        <w:rPr>
          <w:rFonts w:ascii="宋体" w:hAnsi="宋体" w:cs="宋体"/>
        </w:rPr>
      </w:pPr>
      <w:r>
        <w:rPr>
          <w:rFonts w:hint="eastAsia" w:ascii="黑体" w:hAnsi="宋体" w:eastAsia="黑体" w:cs="黑体"/>
          <w:sz w:val="24"/>
          <w:szCs w:val="24"/>
          <w:lang w:bidi="ar"/>
        </w:rPr>
        <w:t>五、使用地点区域自然环境：</w:t>
      </w:r>
    </w:p>
    <w:p>
      <w:pPr>
        <w:numPr>
          <w:ilvl w:val="0"/>
          <w:numId w:val="11"/>
        </w:numPr>
        <w:spacing w:line="360" w:lineRule="auto"/>
        <w:rPr>
          <w:rFonts w:ascii="宋体" w:hAnsi="宋体" w:cs="宋体"/>
        </w:rPr>
      </w:pPr>
      <w:r>
        <w:rPr>
          <w:rFonts w:hint="eastAsia" w:ascii="宋体" w:hAnsi="宋体" w:cs="宋体"/>
          <w:bCs/>
          <w:sz w:val="24"/>
          <w:szCs w:val="24"/>
          <w:lang w:bidi="ar"/>
        </w:rPr>
        <w:t>海拨高度：5000m以下</w:t>
      </w:r>
    </w:p>
    <w:p>
      <w:pPr>
        <w:spacing w:line="360" w:lineRule="auto"/>
        <w:ind w:left="840" w:leftChars="200" w:hanging="420" w:hangingChars="175"/>
        <w:rPr>
          <w:rFonts w:ascii="宋体" w:hAnsi="宋体" w:cs="宋体"/>
        </w:rPr>
      </w:pPr>
      <w:r>
        <w:rPr>
          <w:rFonts w:hint="eastAsia" w:ascii="宋体" w:hAnsi="宋体" w:cs="宋体"/>
          <w:bCs/>
          <w:sz w:val="24"/>
          <w:szCs w:val="24"/>
          <w:lang w:bidi="ar"/>
        </w:rPr>
        <w:t>2、环境温度：室外极端最低温度-40℃、极端最高温度45℃，昼夜最大温差30℃。</w:t>
      </w:r>
    </w:p>
    <w:p>
      <w:pPr>
        <w:spacing w:line="360" w:lineRule="auto"/>
        <w:ind w:firstLine="480" w:firstLineChars="200"/>
        <w:rPr>
          <w:rFonts w:ascii="宋体" w:hAnsi="宋体" w:cs="宋体"/>
        </w:rPr>
      </w:pPr>
      <w:r>
        <w:rPr>
          <w:rFonts w:hint="eastAsia" w:ascii="宋体" w:hAnsi="宋体" w:cs="宋体"/>
          <w:sz w:val="24"/>
          <w:szCs w:val="24"/>
          <w:lang w:bidi="ar"/>
        </w:rPr>
        <w:t>3、相对湿度：年平均59%，</w:t>
      </w:r>
      <w:r>
        <w:rPr>
          <w:rFonts w:hint="eastAsia" w:ascii="宋体" w:hAnsi="宋体" w:cs="宋体"/>
          <w:bCs/>
          <w:sz w:val="24"/>
          <w:szCs w:val="24"/>
          <w:lang w:bidi="ar"/>
        </w:rPr>
        <w:t>最大95%、最小15%。</w:t>
      </w:r>
    </w:p>
    <w:p>
      <w:pPr>
        <w:spacing w:line="360" w:lineRule="auto"/>
        <w:ind w:firstLine="480" w:firstLineChars="200"/>
        <w:rPr>
          <w:rFonts w:ascii="宋体" w:hAnsi="宋体" w:cs="宋体"/>
        </w:rPr>
      </w:pPr>
      <w:r>
        <w:rPr>
          <w:rFonts w:hint="eastAsia" w:ascii="黑体" w:hAnsi="宋体" w:eastAsia="黑体" w:cs="黑体"/>
          <w:sz w:val="24"/>
          <w:szCs w:val="24"/>
          <w:lang w:bidi="ar"/>
        </w:rPr>
        <w:t>六、能源环境：</w:t>
      </w:r>
    </w:p>
    <w:p>
      <w:pPr>
        <w:spacing w:line="360" w:lineRule="auto"/>
        <w:ind w:left="840" w:leftChars="200" w:hanging="420" w:hangingChars="175"/>
        <w:rPr>
          <w:rFonts w:hint="eastAsia" w:ascii="宋体" w:hAnsi="宋体" w:cs="宋体"/>
          <w:bCs/>
          <w:sz w:val="24"/>
          <w:szCs w:val="24"/>
          <w:lang w:bidi="ar"/>
        </w:rPr>
      </w:pPr>
      <w:r>
        <w:rPr>
          <w:rFonts w:hint="eastAsia" w:ascii="宋体" w:hAnsi="宋体" w:cs="宋体"/>
          <w:sz w:val="24"/>
          <w:szCs w:val="24"/>
          <w:lang w:bidi="ar"/>
        </w:rPr>
        <w:t>1、整车</w:t>
      </w:r>
      <w:r>
        <w:rPr>
          <w:rFonts w:hint="eastAsia" w:ascii="宋体" w:hAnsi="宋体" w:cs="宋体"/>
          <w:bCs/>
          <w:sz w:val="24"/>
          <w:szCs w:val="24"/>
          <w:lang w:bidi="ar"/>
        </w:rPr>
        <w:t>直流电源：供电电压12V。</w:t>
      </w:r>
    </w:p>
    <w:p>
      <w:pPr>
        <w:pStyle w:val="6"/>
        <w:widowControl/>
        <w:spacing w:before="120" w:after="120" w:line="360" w:lineRule="auto"/>
        <w:jc w:val="center"/>
        <w:rPr>
          <w:rFonts w:ascii="宋体" w:hAnsi="宋体" w:cs="宋体"/>
          <w:sz w:val="24"/>
          <w:szCs w:val="24"/>
        </w:rPr>
      </w:pPr>
      <w:bookmarkStart w:id="35" w:name="_Toc326840033"/>
      <w:r>
        <w:rPr>
          <w:rFonts w:hint="eastAsia" w:ascii="宋体" w:hAnsi="宋体" w:cs="宋体"/>
          <w:sz w:val="24"/>
          <w:szCs w:val="24"/>
        </w:rPr>
        <w:t>第二节  采购货物概况</w:t>
      </w:r>
      <w:bookmarkEnd w:id="35"/>
    </w:p>
    <w:p>
      <w:pPr>
        <w:spacing w:line="360" w:lineRule="auto"/>
        <w:ind w:firstLine="480" w:firstLineChars="200"/>
        <w:rPr>
          <w:rFonts w:hint="eastAsia" w:ascii="宋体" w:hAnsi="宋体" w:eastAsia="黑体" w:cs="宋体"/>
          <w:sz w:val="24"/>
          <w:szCs w:val="24"/>
          <w:u w:val="single"/>
          <w:lang w:eastAsia="zh-CN" w:bidi="ar"/>
        </w:rPr>
      </w:pPr>
      <w:r>
        <w:rPr>
          <w:rFonts w:hint="eastAsia" w:ascii="黑体" w:hAnsi="宋体" w:eastAsia="黑体" w:cs="黑体"/>
          <w:sz w:val="24"/>
          <w:szCs w:val="24"/>
          <w:lang w:bidi="ar"/>
        </w:rPr>
        <w:t>一、货物名称：</w:t>
      </w:r>
      <w:r>
        <w:rPr>
          <w:rFonts w:hint="eastAsia" w:ascii="宋体" w:hAnsi="宋体" w:eastAsia="黑体" w:cs="宋体"/>
          <w:sz w:val="24"/>
          <w:szCs w:val="24"/>
          <w:u w:val="single"/>
          <w:lang w:eastAsia="zh-CN" w:bidi="ar"/>
        </w:rPr>
        <w:t>汽车研究总院ESP附加功能标定工具项目</w:t>
      </w:r>
    </w:p>
    <w:p>
      <w:pPr>
        <w:spacing w:line="360" w:lineRule="auto"/>
        <w:ind w:firstLine="480" w:firstLineChars="200"/>
        <w:rPr>
          <w:rFonts w:ascii="宋体" w:hAnsi="宋体" w:cs="宋体"/>
        </w:rPr>
      </w:pPr>
      <w:r>
        <w:rPr>
          <w:rFonts w:hint="eastAsia" w:ascii="黑体" w:hAnsi="宋体" w:eastAsia="黑体" w:cs="黑体"/>
          <w:sz w:val="24"/>
          <w:szCs w:val="24"/>
          <w:lang w:bidi="ar"/>
        </w:rPr>
        <w:t>二、货物数量：</w:t>
      </w:r>
      <w:r>
        <w:rPr>
          <w:rFonts w:hint="eastAsia" w:ascii="宋体" w:hAnsi="宋体" w:cs="宋体"/>
          <w:sz w:val="24"/>
          <w:szCs w:val="24"/>
          <w:u w:val="single"/>
          <w:shd w:val="pct10" w:color="auto" w:fill="FFFFFF"/>
          <w:lang w:bidi="ar"/>
        </w:rPr>
        <w:t xml:space="preserve">   一套   </w:t>
      </w:r>
      <w:r>
        <w:rPr>
          <w:rFonts w:hint="eastAsia" w:ascii="宋体" w:hAnsi="宋体" w:cs="宋体"/>
          <w:sz w:val="24"/>
          <w:szCs w:val="24"/>
          <w:lang w:bidi="ar"/>
        </w:rPr>
        <w:t>（详见下表）</w:t>
      </w:r>
    </w:p>
    <w:p>
      <w:pPr>
        <w:spacing w:line="360" w:lineRule="auto"/>
        <w:ind w:firstLine="480" w:firstLineChars="200"/>
        <w:rPr>
          <w:rFonts w:hint="default" w:ascii="宋体" w:hAnsi="宋体" w:cs="宋体"/>
          <w:u w:val="single"/>
          <w:shd w:val="pct10" w:color="auto" w:fill="FFFFFF"/>
          <w:lang w:val="en-US"/>
        </w:rPr>
      </w:pPr>
      <w:r>
        <w:rPr>
          <w:rFonts w:hint="eastAsia" w:ascii="黑体" w:hAnsi="宋体" w:eastAsia="黑体" w:cs="黑体"/>
          <w:sz w:val="24"/>
          <w:szCs w:val="24"/>
          <w:lang w:bidi="ar"/>
        </w:rPr>
        <w:t>三、分投分中：</w:t>
      </w:r>
      <w:r>
        <w:rPr>
          <w:rFonts w:hint="eastAsia" w:ascii="宋体" w:hAnsi="宋体" w:cs="宋体"/>
          <w:sz w:val="24"/>
          <w:szCs w:val="24"/>
          <w:u w:val="single"/>
          <w:shd w:val="pct10" w:color="auto" w:fill="FFFFFF"/>
          <w:lang w:val="en-US" w:eastAsia="zh-CN" w:bidi="ar"/>
        </w:rPr>
        <w:t>不允许分包</w:t>
      </w:r>
    </w:p>
    <w:p>
      <w:pPr>
        <w:spacing w:line="360" w:lineRule="auto"/>
        <w:jc w:val="center"/>
        <w:rPr>
          <w:rFonts w:ascii="宋体" w:hAnsi="宋体" w:eastAsia="宋体" w:cs="宋体"/>
          <w:color w:val="000000"/>
          <w:sz w:val="24"/>
          <w:szCs w:val="24"/>
        </w:rPr>
      </w:pPr>
      <w:r>
        <w:rPr>
          <w:rFonts w:hint="eastAsia" w:ascii="宋体" w:hAnsi="宋体" w:cs="宋体"/>
          <w:sz w:val="24"/>
          <w:szCs w:val="24"/>
          <w:lang w:bidi="ar"/>
        </w:rPr>
        <w:t>采购货物主要构成一览表</w:t>
      </w:r>
    </w:p>
    <w:tbl>
      <w:tblPr>
        <w:tblStyle w:val="41"/>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219"/>
        <w:gridCol w:w="3705"/>
        <w:gridCol w:w="856"/>
        <w:gridCol w:w="690"/>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80" w:type="dxa"/>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序号</w:t>
            </w:r>
          </w:p>
        </w:tc>
        <w:tc>
          <w:tcPr>
            <w:tcW w:w="2219" w:type="dxa"/>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名称</w:t>
            </w:r>
          </w:p>
        </w:tc>
        <w:tc>
          <w:tcPr>
            <w:tcW w:w="3705" w:type="dxa"/>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规格</w:t>
            </w:r>
          </w:p>
        </w:tc>
        <w:tc>
          <w:tcPr>
            <w:tcW w:w="856" w:type="dxa"/>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单位</w:t>
            </w:r>
          </w:p>
        </w:tc>
        <w:tc>
          <w:tcPr>
            <w:tcW w:w="690" w:type="dxa"/>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数量</w:t>
            </w:r>
          </w:p>
        </w:tc>
        <w:tc>
          <w:tcPr>
            <w:tcW w:w="1668" w:type="dxa"/>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80" w:type="dxa"/>
            <w:vAlign w:val="center"/>
          </w:tcPr>
          <w:p>
            <w:pPr>
              <w:jc w:val="center"/>
              <w:textAlignment w:val="center"/>
              <w:rPr>
                <w:rFonts w:ascii="宋体" w:hAnsi="宋体" w:eastAsia="宋体" w:cs="宋体"/>
                <w:color w:val="000000"/>
                <w:sz w:val="24"/>
                <w:szCs w:val="24"/>
              </w:rPr>
            </w:pPr>
            <w:r>
              <w:rPr>
                <w:rFonts w:hint="eastAsia" w:ascii="宋体" w:hAnsi="宋体" w:eastAsia="宋体"/>
                <w:sz w:val="24"/>
                <w:szCs w:val="24"/>
              </w:rPr>
              <w:t>1</w:t>
            </w:r>
          </w:p>
        </w:tc>
        <w:tc>
          <w:tcPr>
            <w:tcW w:w="2219" w:type="dxa"/>
            <w:vAlign w:val="center"/>
          </w:tcPr>
          <w:p>
            <w:pPr>
              <w:widowControl/>
              <w:jc w:val="center"/>
              <w:textAlignment w:val="center"/>
              <w:rPr>
                <w:rFonts w:ascii="宋体" w:hAnsi="宋体" w:eastAsia="宋体"/>
                <w:sz w:val="24"/>
                <w:szCs w:val="24"/>
              </w:rPr>
            </w:pPr>
            <w:r>
              <w:rPr>
                <w:rFonts w:hint="eastAsia" w:ascii="宋体" w:hAnsi="宋体" w:eastAsia="宋体"/>
                <w:sz w:val="24"/>
                <w:szCs w:val="24"/>
                <w:lang w:bidi="ar"/>
              </w:rPr>
              <w:t>ESP XCP样件及软件</w:t>
            </w:r>
          </w:p>
        </w:tc>
        <w:tc>
          <w:tcPr>
            <w:tcW w:w="3705" w:type="dxa"/>
            <w:vAlign w:val="center"/>
          </w:tcPr>
          <w:p>
            <w:pPr>
              <w:jc w:val="left"/>
              <w:textAlignment w:val="center"/>
              <w:rPr>
                <w:rFonts w:ascii="宋体" w:hAnsi="宋体" w:eastAsia="宋体"/>
                <w:szCs w:val="21"/>
                <w:lang w:bidi="ar"/>
              </w:rPr>
            </w:pPr>
            <w:r>
              <w:rPr>
                <w:rFonts w:hint="eastAsia" w:ascii="宋体" w:hAnsi="宋体" w:eastAsia="宋体"/>
                <w:szCs w:val="21"/>
                <w:lang w:bidi="ar"/>
              </w:rPr>
              <w:t>基于E</w:t>
            </w:r>
            <w:r>
              <w:rPr>
                <w:rFonts w:ascii="宋体" w:hAnsi="宋体" w:eastAsia="宋体"/>
                <w:szCs w:val="21"/>
                <w:lang w:bidi="ar"/>
              </w:rPr>
              <w:t>SP</w:t>
            </w:r>
            <w:r>
              <w:rPr>
                <w:rFonts w:hint="eastAsia" w:ascii="宋体" w:hAnsi="宋体" w:eastAsia="宋体"/>
                <w:szCs w:val="21"/>
                <w:lang w:bidi="ar"/>
              </w:rPr>
              <w:t>样件改制的标定样件，可与</w:t>
            </w:r>
            <w:r>
              <w:rPr>
                <w:rFonts w:ascii="宋体" w:hAnsi="宋体" w:eastAsia="宋体"/>
                <w:szCs w:val="21"/>
                <w:lang w:bidi="ar"/>
              </w:rPr>
              <w:t xml:space="preserve">VX </w:t>
            </w:r>
            <w:r>
              <w:rPr>
                <w:rFonts w:hint="eastAsia" w:ascii="宋体" w:hAnsi="宋体" w:eastAsia="宋体"/>
                <w:szCs w:val="21"/>
                <w:lang w:bidi="ar"/>
              </w:rPr>
              <w:t>1135连接；带部分附加功能标定权限的软件</w:t>
            </w:r>
          </w:p>
        </w:tc>
        <w:tc>
          <w:tcPr>
            <w:tcW w:w="856" w:type="dxa"/>
            <w:vAlign w:val="center"/>
          </w:tcPr>
          <w:p>
            <w:pPr>
              <w:jc w:val="center"/>
              <w:textAlignment w:val="center"/>
              <w:rPr>
                <w:rFonts w:ascii="宋体" w:hAnsi="宋体" w:eastAsia="宋体"/>
                <w:sz w:val="24"/>
                <w:szCs w:val="24"/>
              </w:rPr>
            </w:pPr>
            <w:r>
              <w:rPr>
                <w:rFonts w:hint="eastAsia" w:ascii="宋体" w:hAnsi="宋体" w:eastAsia="宋体"/>
                <w:sz w:val="24"/>
                <w:szCs w:val="24"/>
              </w:rPr>
              <w:t>套</w:t>
            </w:r>
          </w:p>
        </w:tc>
        <w:tc>
          <w:tcPr>
            <w:tcW w:w="690" w:type="dxa"/>
            <w:vAlign w:val="center"/>
          </w:tcPr>
          <w:p>
            <w:pPr>
              <w:jc w:val="center"/>
              <w:textAlignment w:val="center"/>
              <w:rPr>
                <w:rFonts w:ascii="宋体" w:hAnsi="宋体" w:eastAsia="宋体"/>
                <w:sz w:val="24"/>
                <w:szCs w:val="24"/>
              </w:rPr>
            </w:pPr>
            <w:r>
              <w:rPr>
                <w:rFonts w:ascii="宋体" w:hAnsi="宋体" w:eastAsia="宋体"/>
                <w:sz w:val="24"/>
                <w:szCs w:val="24"/>
              </w:rPr>
              <w:t>1</w:t>
            </w:r>
          </w:p>
        </w:tc>
        <w:tc>
          <w:tcPr>
            <w:tcW w:w="1668" w:type="dxa"/>
            <w:vMerge w:val="restar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汽车研究总院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80" w:type="dxa"/>
            <w:vAlign w:val="center"/>
          </w:tcPr>
          <w:p>
            <w:pPr>
              <w:jc w:val="center"/>
              <w:textAlignment w:val="center"/>
              <w:rPr>
                <w:rFonts w:ascii="宋体" w:hAnsi="宋体" w:eastAsia="宋体" w:cs="宋体"/>
                <w:color w:val="000000"/>
                <w:sz w:val="24"/>
                <w:szCs w:val="24"/>
              </w:rPr>
            </w:pPr>
            <w:r>
              <w:rPr>
                <w:rFonts w:hint="eastAsia" w:ascii="宋体" w:hAnsi="宋体" w:eastAsia="宋体"/>
                <w:sz w:val="24"/>
                <w:szCs w:val="24"/>
              </w:rPr>
              <w:t>2</w:t>
            </w:r>
          </w:p>
        </w:tc>
        <w:tc>
          <w:tcPr>
            <w:tcW w:w="2219" w:type="dxa"/>
            <w:vAlign w:val="center"/>
          </w:tcPr>
          <w:p>
            <w:pPr>
              <w:widowControl/>
              <w:jc w:val="center"/>
              <w:textAlignment w:val="center"/>
              <w:rPr>
                <w:rFonts w:ascii="宋体" w:hAnsi="宋体" w:eastAsia="宋体"/>
                <w:sz w:val="24"/>
                <w:szCs w:val="24"/>
                <w:lang w:bidi="ar"/>
              </w:rPr>
            </w:pPr>
            <w:r>
              <w:rPr>
                <w:rFonts w:hint="eastAsia" w:ascii="宋体" w:hAnsi="宋体" w:eastAsia="宋体"/>
                <w:sz w:val="24"/>
                <w:szCs w:val="24"/>
                <w:lang w:bidi="ar"/>
              </w:rPr>
              <w:t>XFlash、MM6</w:t>
            </w:r>
          </w:p>
        </w:tc>
        <w:tc>
          <w:tcPr>
            <w:tcW w:w="3705" w:type="dxa"/>
            <w:vAlign w:val="center"/>
          </w:tcPr>
          <w:p>
            <w:pPr>
              <w:jc w:val="left"/>
              <w:textAlignment w:val="center"/>
              <w:rPr>
                <w:rFonts w:ascii="宋体" w:hAnsi="宋体" w:eastAsia="宋体"/>
                <w:szCs w:val="21"/>
                <w:lang w:bidi="ar"/>
              </w:rPr>
            </w:pPr>
            <w:r>
              <w:rPr>
                <w:rFonts w:hint="eastAsia" w:ascii="宋体" w:hAnsi="宋体" w:eastAsia="宋体"/>
                <w:szCs w:val="21"/>
                <w:lang w:bidi="ar"/>
              </w:rPr>
              <w:t>X</w:t>
            </w:r>
            <w:r>
              <w:rPr>
                <w:rFonts w:ascii="宋体" w:hAnsi="宋体" w:eastAsia="宋体"/>
                <w:szCs w:val="21"/>
                <w:lang w:bidi="ar"/>
              </w:rPr>
              <w:t>F</w:t>
            </w:r>
            <w:r>
              <w:rPr>
                <w:rFonts w:hint="eastAsia" w:ascii="宋体" w:hAnsi="宋体" w:eastAsia="宋体"/>
                <w:szCs w:val="21"/>
                <w:lang w:bidi="ar"/>
              </w:rPr>
              <w:t>lash刷写软件；</w:t>
            </w:r>
          </w:p>
          <w:p>
            <w:pPr>
              <w:jc w:val="left"/>
              <w:textAlignment w:val="center"/>
              <w:rPr>
                <w:rFonts w:hint="eastAsia"/>
              </w:rPr>
            </w:pPr>
            <w:r>
              <w:rPr>
                <w:rFonts w:hint="eastAsia" w:ascii="宋体" w:hAnsi="宋体" w:eastAsia="宋体"/>
                <w:szCs w:val="21"/>
                <w:lang w:bidi="ar"/>
              </w:rPr>
              <w:t>M</w:t>
            </w:r>
            <w:r>
              <w:rPr>
                <w:rFonts w:ascii="宋体" w:hAnsi="宋体" w:eastAsia="宋体"/>
                <w:szCs w:val="21"/>
                <w:lang w:bidi="ar"/>
              </w:rPr>
              <w:t>M6</w:t>
            </w:r>
            <w:r>
              <w:rPr>
                <w:rFonts w:hint="eastAsia" w:ascii="宋体" w:hAnsi="宋体" w:eastAsia="宋体"/>
                <w:szCs w:val="21"/>
                <w:lang w:bidi="ar"/>
              </w:rPr>
              <w:t>：标定软件。</w:t>
            </w:r>
          </w:p>
        </w:tc>
        <w:tc>
          <w:tcPr>
            <w:tcW w:w="856" w:type="dxa"/>
            <w:vAlign w:val="center"/>
          </w:tcPr>
          <w:p>
            <w:pPr>
              <w:jc w:val="center"/>
              <w:textAlignment w:val="center"/>
              <w:rPr>
                <w:rFonts w:ascii="宋体" w:hAnsi="宋体" w:eastAsia="宋体"/>
                <w:sz w:val="24"/>
                <w:szCs w:val="24"/>
              </w:rPr>
            </w:pPr>
            <w:r>
              <w:rPr>
                <w:rFonts w:hint="eastAsia" w:ascii="宋体" w:hAnsi="宋体" w:eastAsia="宋体"/>
                <w:sz w:val="24"/>
                <w:szCs w:val="24"/>
              </w:rPr>
              <w:t>套</w:t>
            </w:r>
          </w:p>
        </w:tc>
        <w:tc>
          <w:tcPr>
            <w:tcW w:w="690" w:type="dxa"/>
            <w:vAlign w:val="center"/>
          </w:tcPr>
          <w:p>
            <w:pPr>
              <w:jc w:val="center"/>
              <w:textAlignment w:val="center"/>
              <w:rPr>
                <w:rFonts w:ascii="宋体" w:hAnsi="宋体" w:eastAsia="宋体"/>
                <w:sz w:val="24"/>
                <w:szCs w:val="24"/>
              </w:rPr>
            </w:pPr>
            <w:r>
              <w:rPr>
                <w:rFonts w:ascii="宋体" w:hAnsi="宋体" w:eastAsia="宋体"/>
                <w:sz w:val="24"/>
                <w:szCs w:val="24"/>
              </w:rPr>
              <w:t>1</w:t>
            </w:r>
          </w:p>
        </w:tc>
        <w:tc>
          <w:tcPr>
            <w:tcW w:w="1668" w:type="dxa"/>
            <w:vMerge w:val="continue"/>
            <w:vAlign w:val="center"/>
          </w:tcPr>
          <w:p>
            <w:pPr>
              <w:snapToGrid w:val="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80" w:type="dxa"/>
            <w:vAlign w:val="center"/>
          </w:tcPr>
          <w:p>
            <w:pPr>
              <w:jc w:val="center"/>
              <w:textAlignment w:val="center"/>
              <w:rPr>
                <w:rFonts w:ascii="宋体" w:hAnsi="宋体" w:eastAsia="宋体"/>
                <w:sz w:val="24"/>
                <w:szCs w:val="24"/>
              </w:rPr>
            </w:pPr>
          </w:p>
        </w:tc>
        <w:tc>
          <w:tcPr>
            <w:tcW w:w="2219" w:type="dxa"/>
            <w:vAlign w:val="center"/>
          </w:tcPr>
          <w:p>
            <w:pPr>
              <w:jc w:val="center"/>
              <w:textAlignment w:val="center"/>
              <w:rPr>
                <w:rFonts w:ascii="宋体" w:hAnsi="宋体" w:eastAsia="宋体"/>
                <w:b/>
                <w:bCs/>
                <w:sz w:val="24"/>
                <w:szCs w:val="24"/>
              </w:rPr>
            </w:pPr>
            <w:r>
              <w:rPr>
                <w:rFonts w:hint="eastAsia" w:ascii="宋体" w:hAnsi="宋体" w:eastAsia="宋体"/>
                <w:b/>
                <w:bCs/>
                <w:sz w:val="24"/>
                <w:szCs w:val="24"/>
                <w:lang w:bidi="ar"/>
              </w:rPr>
              <w:t>合计</w:t>
            </w:r>
          </w:p>
        </w:tc>
        <w:tc>
          <w:tcPr>
            <w:tcW w:w="3705" w:type="dxa"/>
            <w:vAlign w:val="center"/>
          </w:tcPr>
          <w:p>
            <w:pPr>
              <w:jc w:val="center"/>
              <w:textAlignment w:val="center"/>
              <w:rPr>
                <w:rFonts w:ascii="宋体" w:hAnsi="宋体" w:eastAsia="宋体"/>
                <w:b/>
                <w:bCs/>
                <w:sz w:val="24"/>
                <w:szCs w:val="24"/>
              </w:rPr>
            </w:pPr>
          </w:p>
        </w:tc>
        <w:tc>
          <w:tcPr>
            <w:tcW w:w="856" w:type="dxa"/>
            <w:vAlign w:val="center"/>
          </w:tcPr>
          <w:p>
            <w:pPr>
              <w:jc w:val="center"/>
              <w:textAlignment w:val="center"/>
              <w:rPr>
                <w:rFonts w:ascii="宋体" w:hAnsi="宋体" w:eastAsia="宋体"/>
                <w:b/>
                <w:bCs/>
                <w:sz w:val="24"/>
                <w:szCs w:val="24"/>
              </w:rPr>
            </w:pPr>
          </w:p>
        </w:tc>
        <w:tc>
          <w:tcPr>
            <w:tcW w:w="690" w:type="dxa"/>
            <w:vAlign w:val="center"/>
          </w:tcPr>
          <w:p>
            <w:pPr>
              <w:jc w:val="center"/>
              <w:textAlignment w:val="center"/>
              <w:rPr>
                <w:rFonts w:hint="eastAsia" w:ascii="宋体" w:hAnsi="宋体" w:eastAsia="宋体"/>
                <w:b/>
                <w:bCs/>
                <w:sz w:val="24"/>
                <w:szCs w:val="24"/>
                <w:lang w:eastAsia="zh-CN"/>
              </w:rPr>
            </w:pPr>
            <w:r>
              <w:rPr>
                <w:rFonts w:hint="eastAsia" w:ascii="宋体" w:hAnsi="宋体" w:eastAsia="宋体"/>
                <w:b/>
                <w:bCs/>
                <w:sz w:val="24"/>
                <w:szCs w:val="24"/>
                <w:lang w:val="en-US" w:eastAsia="zh-CN"/>
              </w:rPr>
              <w:t>2</w:t>
            </w:r>
          </w:p>
        </w:tc>
        <w:tc>
          <w:tcPr>
            <w:tcW w:w="1668" w:type="dxa"/>
            <w:vMerge w:val="continue"/>
            <w:vAlign w:val="center"/>
          </w:tcPr>
          <w:p>
            <w:pPr>
              <w:snapToGrid w:val="0"/>
              <w:jc w:val="center"/>
              <w:rPr>
                <w:rFonts w:ascii="宋体" w:hAnsi="宋体" w:eastAsia="宋体" w:cs="宋体"/>
                <w:color w:val="000000"/>
                <w:sz w:val="24"/>
                <w:szCs w:val="24"/>
              </w:rPr>
            </w:pPr>
          </w:p>
        </w:tc>
      </w:tr>
    </w:tbl>
    <w:p>
      <w:pPr>
        <w:autoSpaceDE w:val="0"/>
        <w:autoSpaceDN w:val="0"/>
        <w:spacing w:line="360" w:lineRule="auto"/>
        <w:ind w:firstLine="482" w:firstLineChars="200"/>
        <w:jc w:val="left"/>
        <w:rPr>
          <w:rFonts w:ascii="宋体" w:hAnsi="宋体" w:eastAsia="宋体" w:cs="宋体"/>
          <w:b/>
          <w:bCs/>
          <w:sz w:val="24"/>
          <w:szCs w:val="24"/>
        </w:rPr>
      </w:pP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12"/>
        </w:numPr>
        <w:spacing w:line="360" w:lineRule="auto"/>
        <w:ind w:firstLine="480" w:firstLineChars="200"/>
        <w:rPr>
          <w:rFonts w:ascii="宋体" w:hAnsi="宋体" w:eastAsia="宋体" w:cs="Times New Roman"/>
          <w:b/>
          <w:bCs/>
          <w:szCs w:val="20"/>
        </w:rPr>
      </w:pPr>
      <w:r>
        <w:rPr>
          <w:rFonts w:hint="eastAsia" w:ascii="宋体" w:hAnsi="宋体" w:eastAsia="宋体" w:cs="宋体"/>
          <w:bCs/>
          <w:sz w:val="24"/>
          <w:szCs w:val="24"/>
        </w:rPr>
        <w:t>本表“供货方式”指：交钥匙方式——包括制造、运输、定点卸货、安装、调试和协助验收以及约定培训等。</w:t>
      </w:r>
    </w:p>
    <w:p>
      <w:pPr>
        <w:numPr>
          <w:ilvl w:val="0"/>
          <w:numId w:val="12"/>
        </w:numPr>
        <w:spacing w:line="360" w:lineRule="auto"/>
        <w:ind w:firstLine="482" w:firstLineChars="200"/>
        <w:rPr>
          <w:rFonts w:hAnsi="宋体" w:eastAsia="宋体" w:cs="宋体"/>
          <w:bCs/>
          <w:sz w:val="24"/>
          <w:szCs w:val="24"/>
        </w:rPr>
      </w:pPr>
      <w:r>
        <w:rPr>
          <w:rFonts w:hint="eastAsia" w:ascii="宋体" w:hAnsi="宋体" w:eastAsia="宋体" w:cs="宋体"/>
          <w:b/>
          <w:sz w:val="24"/>
          <w:szCs w:val="24"/>
        </w:rPr>
        <w:t>采购货物特别说明：</w:t>
      </w:r>
      <w:r>
        <w:rPr>
          <w:rFonts w:hint="eastAsia" w:ascii="宋体" w:hAnsi="宋体" w:eastAsia="宋体" w:cs="宋体"/>
          <w:b/>
          <w:bCs/>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b/>
          <w:bCs/>
          <w:szCs w:val="20"/>
        </w:rPr>
        <w:t>。</w:t>
      </w:r>
    </w:p>
    <w:p>
      <w:pPr>
        <w:pStyle w:val="20"/>
        <w:spacing w:line="360" w:lineRule="auto"/>
        <w:jc w:val="center"/>
        <w:rPr>
          <w:rFonts w:hAnsi="宋体" w:eastAsia="宋体" w:cs="宋体"/>
          <w:b/>
          <w:sz w:val="24"/>
          <w:szCs w:val="24"/>
        </w:rPr>
      </w:pPr>
    </w:p>
    <w:p>
      <w:pPr>
        <w:pStyle w:val="20"/>
        <w:spacing w:line="360" w:lineRule="auto"/>
        <w:jc w:val="center"/>
        <w:rPr>
          <w:rFonts w:hAnsi="宋体" w:eastAsia="宋体" w:cs="宋体"/>
          <w:bCs/>
          <w:sz w:val="24"/>
          <w:szCs w:val="24"/>
        </w:rPr>
      </w:pPr>
      <w:r>
        <w:rPr>
          <w:rFonts w:hint="eastAsia" w:hAnsi="宋体" w:eastAsia="宋体" w:cs="宋体"/>
          <w:b/>
          <w:sz w:val="24"/>
          <w:szCs w:val="24"/>
        </w:rPr>
        <w:t>主要器件品牌表（可选同等或更优质量品牌）</w:t>
      </w:r>
    </w:p>
    <w:tbl>
      <w:tblPr>
        <w:tblStyle w:val="41"/>
        <w:tblW w:w="9752" w:type="dxa"/>
        <w:tblInd w:w="0" w:type="dxa"/>
        <w:tblLayout w:type="fixed"/>
        <w:tblCellMar>
          <w:top w:w="0" w:type="dxa"/>
          <w:left w:w="108" w:type="dxa"/>
          <w:bottom w:w="0" w:type="dxa"/>
          <w:right w:w="108" w:type="dxa"/>
        </w:tblCellMar>
      </w:tblPr>
      <w:tblGrid>
        <w:gridCol w:w="768"/>
        <w:gridCol w:w="1901"/>
        <w:gridCol w:w="7083"/>
      </w:tblGrid>
      <w:tr>
        <w:trPr>
          <w:trHeight w:val="407"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序号</w:t>
            </w:r>
          </w:p>
        </w:tc>
        <w:tc>
          <w:tcPr>
            <w:tcW w:w="19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名称</w:t>
            </w:r>
          </w:p>
        </w:tc>
        <w:tc>
          <w:tcPr>
            <w:tcW w:w="70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品牌</w:t>
            </w:r>
          </w:p>
        </w:tc>
      </w:tr>
      <w:tr>
        <w:tblPrEx>
          <w:tblCellMar>
            <w:top w:w="0" w:type="dxa"/>
            <w:left w:w="108" w:type="dxa"/>
            <w:bottom w:w="0" w:type="dxa"/>
            <w:right w:w="108" w:type="dxa"/>
          </w:tblCellMar>
        </w:tblPrEx>
        <w:trPr>
          <w:trHeight w:val="34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9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zCs w:val="21"/>
              </w:rPr>
            </w:pPr>
            <w:r>
              <w:rPr>
                <w:rFonts w:hint="eastAsia" w:ascii="宋体" w:hAnsi="宋体" w:eastAsia="宋体"/>
                <w:sz w:val="24"/>
                <w:szCs w:val="24"/>
                <w:lang w:bidi="ar"/>
              </w:rPr>
              <w:t>ESP XCP样件及软件</w:t>
            </w:r>
          </w:p>
        </w:tc>
        <w:tc>
          <w:tcPr>
            <w:tcW w:w="70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博世</w:t>
            </w:r>
          </w:p>
        </w:tc>
      </w:tr>
      <w:tr>
        <w:tblPrEx>
          <w:tblCellMar>
            <w:top w:w="0" w:type="dxa"/>
            <w:left w:w="108" w:type="dxa"/>
            <w:bottom w:w="0" w:type="dxa"/>
            <w:right w:w="108" w:type="dxa"/>
          </w:tblCellMar>
        </w:tblPrEx>
        <w:trPr>
          <w:trHeight w:val="375"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19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sz w:val="24"/>
                <w:szCs w:val="24"/>
                <w:lang w:bidi="ar"/>
              </w:rPr>
              <w:t>XFlash、MM6</w:t>
            </w:r>
          </w:p>
        </w:tc>
        <w:tc>
          <w:tcPr>
            <w:tcW w:w="70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博世</w:t>
            </w:r>
          </w:p>
        </w:tc>
      </w:tr>
    </w:tbl>
    <w:p>
      <w:pPr>
        <w:pStyle w:val="20"/>
        <w:spacing w:line="360" w:lineRule="auto"/>
        <w:jc w:val="center"/>
        <w:rPr>
          <w:rFonts w:hint="eastAsia" w:hAnsi="宋体" w:eastAsia="宋体" w:cs="宋体"/>
          <w:b/>
          <w:sz w:val="24"/>
          <w:szCs w:val="24"/>
        </w:rPr>
      </w:pPr>
    </w:p>
    <w:p>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spacing w:line="360" w:lineRule="auto"/>
        <w:ind w:firstLine="480" w:firstLineChars="200"/>
        <w:rPr>
          <w:rFonts w:hint="eastAsia" w:ascii="宋体" w:hAnsi="宋体" w:eastAsia="宋体"/>
          <w:bCs/>
          <w:sz w:val="24"/>
          <w:szCs w:val="24"/>
        </w:rPr>
      </w:pPr>
    </w:p>
    <w:p>
      <w:pPr>
        <w:spacing w:line="360" w:lineRule="auto"/>
        <w:ind w:firstLine="562" w:firstLineChars="200"/>
        <w:jc w:val="center"/>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第二章技术要求</w:t>
      </w:r>
    </w:p>
    <w:p>
      <w:pPr>
        <w:pStyle w:val="118"/>
        <w:spacing w:before="480" w:beforeLines="200" w:line="360" w:lineRule="auto"/>
        <w:ind w:firstLine="643" w:firstLineChars="200"/>
        <w:outlineLvl w:val="2"/>
        <w:rPr>
          <w:rFonts w:eastAsia="宋体" w:cs="宋体" w:asciiTheme="minorHAnsi" w:hAnsiTheme="minorHAnsi"/>
          <w:b/>
          <w:bCs w:val="0"/>
          <w:sz w:val="32"/>
          <w:szCs w:val="32"/>
        </w:rPr>
      </w:pPr>
      <w:r>
        <w:rPr>
          <w:rFonts w:hint="eastAsia" w:eastAsia="宋体" w:cs="宋体" w:asciiTheme="minorHAnsi" w:hAnsiTheme="minorHAnsi"/>
          <w:b/>
          <w:bCs w:val="0"/>
          <w:sz w:val="32"/>
          <w:szCs w:val="32"/>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pStyle w:val="118"/>
        <w:spacing w:before="480" w:beforeLines="200" w:line="360" w:lineRule="auto"/>
        <w:ind w:firstLine="643" w:firstLineChars="200"/>
        <w:outlineLvl w:val="2"/>
        <w:rPr>
          <w:rFonts w:eastAsia="宋体" w:cs="宋体" w:asciiTheme="minorHAnsi" w:hAnsiTheme="minorHAnsi"/>
          <w:b/>
          <w:bCs w:val="0"/>
          <w:sz w:val="32"/>
          <w:szCs w:val="32"/>
        </w:rPr>
      </w:pPr>
      <w:r>
        <w:rPr>
          <w:rFonts w:hint="eastAsia" w:eastAsia="宋体" w:cs="宋体" w:asciiTheme="minorHAnsi" w:hAnsiTheme="minorHAnsi"/>
          <w:b/>
          <w:bCs w:val="0"/>
          <w:sz w:val="32"/>
          <w:szCs w:val="32"/>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8.投标人预验收时需提供进口设备、部件的报关清关资料。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9.投标人应提供设备的第三方检定校准报告，检定费用含在报价中。</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10.</w:t>
      </w:r>
      <w:r>
        <w:rPr>
          <w:rFonts w:ascii="宋体" w:hAnsi="宋体" w:eastAsia="宋体" w:cs="宋体"/>
          <w:sz w:val="24"/>
          <w:szCs w:val="24"/>
          <w:highlight w:val="yellow"/>
        </w:rPr>
        <w:t>交付设备时，取消保护限制等功能（例如，远程锁机）</w:t>
      </w:r>
      <w:r>
        <w:rPr>
          <w:rFonts w:hint="eastAsia" w:ascii="宋体" w:hAnsi="宋体" w:eastAsia="宋体" w:cs="宋体"/>
          <w:sz w:val="24"/>
          <w:szCs w:val="24"/>
          <w:highlight w:val="yellow"/>
          <w:lang w:eastAsia="zh-CN"/>
        </w:rPr>
        <w:t>。</w:t>
      </w:r>
    </w:p>
    <w:p>
      <w:pPr>
        <w:pStyle w:val="118"/>
        <w:spacing w:before="480" w:beforeLines="200" w:line="360" w:lineRule="auto"/>
        <w:ind w:firstLine="643" w:firstLineChars="200"/>
        <w:outlineLvl w:val="2"/>
        <w:rPr>
          <w:rFonts w:eastAsia="宋体" w:cs="宋体" w:asciiTheme="minorHAnsi" w:hAnsiTheme="minorHAnsi"/>
          <w:b/>
          <w:bCs w:val="0"/>
          <w:sz w:val="32"/>
          <w:szCs w:val="32"/>
        </w:rPr>
      </w:pPr>
      <w:r>
        <w:rPr>
          <w:rFonts w:hint="eastAsia" w:eastAsia="宋体" w:cs="宋体" w:asciiTheme="minorHAnsi" w:hAnsiTheme="minorHAnsi"/>
          <w:b/>
          <w:bCs w:val="0"/>
          <w:sz w:val="32"/>
          <w:szCs w:val="32"/>
        </w:rPr>
        <w:t>三、技术要求</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3.1.功能用途：</w:t>
      </w:r>
    </w:p>
    <w:p>
      <w:pPr>
        <w:spacing w:line="360" w:lineRule="auto"/>
        <w:ind w:firstLine="480" w:firstLineChars="200"/>
        <w:rPr>
          <w:rFonts w:eastAsia="宋体" w:cs="宋体"/>
          <w:sz w:val="24"/>
          <w:szCs w:val="24"/>
        </w:rPr>
      </w:pPr>
      <w:r>
        <w:rPr>
          <w:rFonts w:hint="eastAsia" w:eastAsia="宋体" w:cs="宋体"/>
          <w:sz w:val="24"/>
          <w:szCs w:val="24"/>
        </w:rPr>
        <w:t>提供一种易用、适应性强且高度集成的组合工具链，可满足E</w:t>
      </w:r>
      <w:r>
        <w:rPr>
          <w:rFonts w:eastAsia="宋体" w:cs="宋体"/>
          <w:sz w:val="24"/>
          <w:szCs w:val="24"/>
        </w:rPr>
        <w:t>SP</w:t>
      </w:r>
      <w:r>
        <w:rPr>
          <w:rFonts w:hint="eastAsia" w:eastAsia="宋体" w:cs="宋体"/>
          <w:sz w:val="24"/>
          <w:szCs w:val="24"/>
        </w:rPr>
        <w:t>附加功能标定、测试和分析等多种功能需求，支持从需求分析到系统实现的整个系统开发过程。</w:t>
      </w:r>
    </w:p>
    <w:p>
      <w:pPr>
        <w:pStyle w:val="131"/>
        <w:numPr>
          <w:ilvl w:val="1"/>
          <w:numId w:val="12"/>
        </w:numPr>
        <w:spacing w:line="360" w:lineRule="auto"/>
        <w:ind w:firstLineChars="0"/>
        <w:rPr>
          <w:rFonts w:ascii="宋体" w:hAnsi="宋体" w:eastAsia="宋体" w:cs="Times New Roman"/>
          <w:b/>
          <w:bCs/>
          <w:sz w:val="24"/>
          <w:szCs w:val="24"/>
        </w:rPr>
      </w:pPr>
      <w:r>
        <w:rPr>
          <w:rFonts w:ascii="宋体" w:hAnsi="宋体" w:eastAsia="宋体" w:cs="Times New Roman"/>
          <w:b/>
          <w:bCs/>
          <w:sz w:val="24"/>
          <w:szCs w:val="24"/>
        </w:rPr>
        <w:t xml:space="preserve">ESP </w:t>
      </w:r>
      <w:r>
        <w:rPr>
          <w:rFonts w:hint="eastAsia" w:ascii="宋体" w:hAnsi="宋体" w:eastAsia="宋体" w:cs="Times New Roman"/>
          <w:b/>
          <w:bCs/>
          <w:sz w:val="24"/>
          <w:szCs w:val="24"/>
        </w:rPr>
        <w:t>X</w:t>
      </w:r>
      <w:r>
        <w:rPr>
          <w:rFonts w:ascii="宋体" w:hAnsi="宋体" w:eastAsia="宋体" w:cs="Times New Roman"/>
          <w:b/>
          <w:bCs/>
          <w:sz w:val="24"/>
          <w:szCs w:val="24"/>
        </w:rPr>
        <w:t>CP</w:t>
      </w:r>
      <w:r>
        <w:rPr>
          <w:rFonts w:hint="eastAsia" w:ascii="宋体" w:hAnsi="宋体" w:eastAsia="宋体" w:cs="Times New Roman"/>
          <w:b/>
          <w:bCs/>
          <w:sz w:val="24"/>
          <w:szCs w:val="24"/>
        </w:rPr>
        <w:t>样件及软件</w:t>
      </w:r>
      <w:r>
        <w:rPr>
          <w:rFonts w:ascii="宋体" w:hAnsi="宋体" w:eastAsia="宋体" w:cs="Times New Roman"/>
          <w:b/>
          <w:bCs/>
          <w:sz w:val="24"/>
          <w:szCs w:val="24"/>
        </w:rPr>
        <w:t>概述</w:t>
      </w:r>
    </w:p>
    <w:p>
      <w:pPr>
        <w:spacing w:line="360" w:lineRule="auto"/>
        <w:ind w:firstLine="480" w:firstLineChars="200"/>
        <w:rPr>
          <w:rFonts w:eastAsia="宋体" w:cs="宋体"/>
          <w:sz w:val="24"/>
          <w:szCs w:val="24"/>
        </w:rPr>
      </w:pPr>
      <w:r>
        <w:rPr>
          <w:rFonts w:hint="eastAsia" w:eastAsia="宋体" w:cs="宋体"/>
          <w:sz w:val="24"/>
          <w:szCs w:val="24"/>
        </w:rPr>
        <w:t>X</w:t>
      </w:r>
      <w:r>
        <w:rPr>
          <w:rFonts w:eastAsia="宋体" w:cs="宋体"/>
          <w:sz w:val="24"/>
          <w:szCs w:val="24"/>
        </w:rPr>
        <w:t>CP</w:t>
      </w:r>
      <w:r>
        <w:rPr>
          <w:rFonts w:hint="eastAsia" w:eastAsia="宋体" w:cs="宋体"/>
          <w:sz w:val="24"/>
          <w:szCs w:val="24"/>
        </w:rPr>
        <w:t>件是基于基础E</w:t>
      </w:r>
      <w:r>
        <w:rPr>
          <w:rFonts w:eastAsia="宋体" w:cs="宋体"/>
          <w:sz w:val="24"/>
          <w:szCs w:val="24"/>
        </w:rPr>
        <w:t>SP</w:t>
      </w:r>
      <w:r>
        <w:rPr>
          <w:rFonts w:hint="eastAsia" w:eastAsia="宋体" w:cs="宋体"/>
          <w:sz w:val="24"/>
          <w:szCs w:val="24"/>
        </w:rPr>
        <w:t>样件的情况下进行特殊手工改造的工程样件，可以在E</w:t>
      </w:r>
      <w:r>
        <w:rPr>
          <w:rFonts w:eastAsia="宋体" w:cs="宋体"/>
          <w:sz w:val="24"/>
          <w:szCs w:val="24"/>
        </w:rPr>
        <w:t>SP</w:t>
      </w:r>
      <w:r>
        <w:rPr>
          <w:rFonts w:hint="eastAsia" w:eastAsia="宋体" w:cs="宋体"/>
          <w:sz w:val="24"/>
          <w:szCs w:val="24"/>
        </w:rPr>
        <w:t>标定过程中更加便捷的进行软件刷写和更改参数。</w:t>
      </w:r>
      <w:r>
        <w:rPr>
          <w:rFonts w:eastAsia="宋体" w:cs="宋体"/>
          <w:sz w:val="24"/>
          <w:szCs w:val="24"/>
        </w:rPr>
        <w:t>XCP</w:t>
      </w:r>
      <w:r>
        <w:rPr>
          <w:rFonts w:hint="eastAsia" w:eastAsia="宋体" w:cs="宋体"/>
          <w:sz w:val="24"/>
          <w:szCs w:val="24"/>
        </w:rPr>
        <w:t>是设计用于进行E</w:t>
      </w:r>
      <w:r>
        <w:rPr>
          <w:rFonts w:eastAsia="宋体" w:cs="宋体"/>
          <w:sz w:val="24"/>
          <w:szCs w:val="24"/>
        </w:rPr>
        <w:t>SP</w:t>
      </w:r>
      <w:r>
        <w:rPr>
          <w:rFonts w:hint="eastAsia" w:eastAsia="宋体" w:cs="宋体"/>
          <w:sz w:val="24"/>
          <w:szCs w:val="24"/>
        </w:rPr>
        <w:t>相关功能的整车标定与测试。</w:t>
      </w:r>
    </w:p>
    <w:p>
      <w:pPr>
        <w:spacing w:line="360" w:lineRule="auto"/>
        <w:ind w:firstLine="482" w:firstLineChars="200"/>
        <w:rPr>
          <w:rFonts w:eastAsia="宋体" w:cs="宋体"/>
          <w:b/>
          <w:sz w:val="24"/>
          <w:szCs w:val="24"/>
        </w:rPr>
      </w:pPr>
      <w:r>
        <w:rPr>
          <w:rFonts w:hint="eastAsia" w:eastAsia="宋体" w:cs="宋体"/>
          <w:b/>
          <w:sz w:val="24"/>
          <w:szCs w:val="24"/>
        </w:rPr>
        <w:t>基本功能：</w:t>
      </w:r>
    </w:p>
    <w:p>
      <w:pPr>
        <w:pStyle w:val="131"/>
        <w:numPr>
          <w:ilvl w:val="0"/>
          <w:numId w:val="13"/>
        </w:numPr>
        <w:spacing w:line="360" w:lineRule="auto"/>
        <w:ind w:firstLineChars="0"/>
        <w:rPr>
          <w:rFonts w:eastAsia="宋体" w:cs="宋体"/>
          <w:sz w:val="24"/>
          <w:szCs w:val="24"/>
        </w:rPr>
      </w:pPr>
      <w:r>
        <w:rPr>
          <w:rFonts w:hint="eastAsia" w:eastAsia="宋体" w:cs="宋体"/>
          <w:sz w:val="24"/>
          <w:szCs w:val="24"/>
        </w:rPr>
        <w:t>用于E</w:t>
      </w:r>
      <w:r>
        <w:rPr>
          <w:rFonts w:eastAsia="宋体" w:cs="宋体"/>
          <w:sz w:val="24"/>
          <w:szCs w:val="24"/>
        </w:rPr>
        <w:t>SP</w:t>
      </w:r>
      <w:r>
        <w:rPr>
          <w:rFonts w:hint="eastAsia" w:eastAsia="宋体" w:cs="宋体"/>
          <w:sz w:val="24"/>
          <w:szCs w:val="24"/>
        </w:rPr>
        <w:t>相关功能的整车标定与测试。</w:t>
      </w:r>
    </w:p>
    <w:p>
      <w:pPr>
        <w:pStyle w:val="131"/>
        <w:numPr>
          <w:ilvl w:val="0"/>
          <w:numId w:val="13"/>
        </w:numPr>
        <w:spacing w:line="360" w:lineRule="auto"/>
        <w:ind w:firstLineChars="0"/>
        <w:rPr>
          <w:rFonts w:eastAsia="宋体" w:cs="宋体"/>
          <w:sz w:val="24"/>
          <w:szCs w:val="24"/>
        </w:rPr>
      </w:pPr>
      <w:r>
        <w:rPr>
          <w:rFonts w:hint="eastAsia" w:eastAsia="宋体" w:cs="宋体"/>
          <w:sz w:val="24"/>
          <w:szCs w:val="24"/>
        </w:rPr>
        <w:t>支持与Vector</w:t>
      </w:r>
      <w:r>
        <w:rPr>
          <w:rFonts w:eastAsia="宋体" w:cs="宋体"/>
          <w:sz w:val="24"/>
          <w:szCs w:val="24"/>
        </w:rPr>
        <w:t>1135</w:t>
      </w:r>
      <w:r>
        <w:rPr>
          <w:rFonts w:hint="eastAsia" w:eastAsia="宋体" w:cs="宋体"/>
          <w:sz w:val="24"/>
          <w:szCs w:val="24"/>
        </w:rPr>
        <w:t>或1</w:t>
      </w:r>
      <w:r>
        <w:rPr>
          <w:rFonts w:eastAsia="宋体" w:cs="宋体"/>
          <w:sz w:val="24"/>
          <w:szCs w:val="24"/>
        </w:rPr>
        <w:t>132</w:t>
      </w:r>
      <w:r>
        <w:rPr>
          <w:rFonts w:hint="eastAsia" w:eastAsia="宋体" w:cs="宋体"/>
          <w:sz w:val="24"/>
          <w:szCs w:val="24"/>
        </w:rPr>
        <w:t>设备链接通讯。</w:t>
      </w:r>
    </w:p>
    <w:p>
      <w:pPr>
        <w:pStyle w:val="131"/>
        <w:numPr>
          <w:ilvl w:val="0"/>
          <w:numId w:val="13"/>
        </w:numPr>
        <w:spacing w:line="360" w:lineRule="auto"/>
        <w:ind w:firstLineChars="0"/>
        <w:rPr>
          <w:rFonts w:eastAsia="宋体" w:cs="宋体"/>
          <w:sz w:val="24"/>
          <w:szCs w:val="24"/>
        </w:rPr>
      </w:pPr>
      <w:r>
        <w:rPr>
          <w:rFonts w:hint="eastAsia" w:eastAsia="宋体" w:cs="宋体"/>
          <w:sz w:val="24"/>
          <w:szCs w:val="24"/>
        </w:rPr>
        <w:t>支持M</w:t>
      </w:r>
      <w:r>
        <w:rPr>
          <w:rFonts w:eastAsia="宋体" w:cs="宋体"/>
          <w:sz w:val="24"/>
          <w:szCs w:val="24"/>
        </w:rPr>
        <w:t>M6/X</w:t>
      </w:r>
      <w:r>
        <w:rPr>
          <w:rFonts w:hint="eastAsia" w:eastAsia="宋体" w:cs="宋体"/>
          <w:sz w:val="24"/>
          <w:szCs w:val="24"/>
        </w:rPr>
        <w:t>flash软件。</w:t>
      </w:r>
    </w:p>
    <w:p>
      <w:pPr>
        <w:pStyle w:val="131"/>
        <w:numPr>
          <w:ilvl w:val="0"/>
          <w:numId w:val="13"/>
        </w:numPr>
        <w:spacing w:line="360" w:lineRule="auto"/>
        <w:ind w:firstLineChars="0"/>
        <w:rPr>
          <w:rFonts w:eastAsia="宋体" w:cs="宋体"/>
          <w:sz w:val="24"/>
          <w:szCs w:val="24"/>
        </w:rPr>
      </w:pPr>
      <w:r>
        <w:rPr>
          <w:rFonts w:hint="eastAsia" w:eastAsia="宋体" w:cs="宋体"/>
          <w:sz w:val="24"/>
          <w:szCs w:val="24"/>
        </w:rPr>
        <w:t>线束端口支持连接V</w:t>
      </w:r>
      <w:r>
        <w:rPr>
          <w:rFonts w:eastAsia="宋体" w:cs="宋体"/>
          <w:sz w:val="24"/>
          <w:szCs w:val="24"/>
        </w:rPr>
        <w:t>X1375</w:t>
      </w:r>
      <w:r>
        <w:rPr>
          <w:rFonts w:hint="eastAsia" w:eastAsia="宋体" w:cs="宋体"/>
          <w:sz w:val="24"/>
          <w:szCs w:val="24"/>
        </w:rPr>
        <w:t>电缆，与Vector</w:t>
      </w:r>
      <w:r>
        <w:rPr>
          <w:rFonts w:eastAsia="宋体" w:cs="宋体"/>
          <w:sz w:val="24"/>
          <w:szCs w:val="24"/>
        </w:rPr>
        <w:t xml:space="preserve"> 1135</w:t>
      </w:r>
      <w:r>
        <w:rPr>
          <w:rFonts w:hint="eastAsia" w:eastAsia="宋体" w:cs="宋体"/>
          <w:sz w:val="24"/>
          <w:szCs w:val="24"/>
        </w:rPr>
        <w:t>进行通讯。</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ascii="宋体" w:hAnsi="宋体" w:eastAsia="宋体" w:cs="宋体"/>
          <w:b/>
          <w:bCs/>
          <w:sz w:val="24"/>
          <w:szCs w:val="24"/>
        </w:rPr>
        <w:t>3 XCP</w:t>
      </w:r>
      <w:r>
        <w:rPr>
          <w:rFonts w:hint="eastAsia" w:ascii="宋体" w:hAnsi="宋体" w:eastAsia="宋体" w:cs="宋体"/>
          <w:b/>
          <w:bCs/>
          <w:sz w:val="24"/>
          <w:szCs w:val="24"/>
        </w:rPr>
        <w:t>样件主要性能参数</w:t>
      </w:r>
    </w:p>
    <w:tbl>
      <w:tblPr>
        <w:tblStyle w:val="41"/>
        <w:tblpPr w:leftFromText="180" w:rightFromText="180" w:vertAnchor="text" w:horzAnchor="page" w:tblpXSpec="center" w:tblpY="58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3494"/>
        <w:gridCol w:w="3991"/>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06" w:type="dxa"/>
            <w:tcBorders>
              <w:top w:val="single" w:color="000000" w:themeColor="text1" w:sz="4" w:space="0"/>
            </w:tcBorders>
            <w:shd w:val="clear" w:color="auto" w:fill="auto"/>
            <w:vAlign w:val="center"/>
          </w:tcPr>
          <w:p>
            <w:pPr>
              <w:jc w:val="center"/>
              <w:rPr>
                <w:rFonts w:ascii="宋体" w:hAnsi="宋体" w:eastAsia="宋体" w:cs="宋体"/>
                <w:sz w:val="24"/>
              </w:rPr>
            </w:pPr>
            <w:r>
              <w:rPr>
                <w:rFonts w:hint="eastAsia" w:ascii="宋体" w:hAnsi="宋体" w:eastAsia="宋体" w:cs="宋体"/>
                <w:b/>
                <w:sz w:val="24"/>
              </w:rPr>
              <w:t>序号</w:t>
            </w:r>
          </w:p>
        </w:tc>
        <w:tc>
          <w:tcPr>
            <w:tcW w:w="3494" w:type="dxa"/>
            <w:tcBorders>
              <w:top w:val="single" w:color="000000" w:themeColor="text1" w:sz="4" w:space="0"/>
            </w:tcBorders>
            <w:shd w:val="clear" w:color="auto" w:fill="auto"/>
            <w:vAlign w:val="center"/>
          </w:tcPr>
          <w:p>
            <w:pPr>
              <w:jc w:val="center"/>
              <w:rPr>
                <w:rFonts w:ascii="宋体" w:hAnsi="宋体" w:eastAsia="宋体" w:cs="宋体"/>
                <w:sz w:val="24"/>
              </w:rPr>
            </w:pPr>
            <w:r>
              <w:rPr>
                <w:rFonts w:hint="eastAsia" w:ascii="宋体" w:hAnsi="宋体" w:eastAsia="宋体" w:cs="宋体"/>
                <w:b/>
                <w:sz w:val="24"/>
              </w:rPr>
              <w:t>项目</w:t>
            </w:r>
          </w:p>
        </w:tc>
        <w:tc>
          <w:tcPr>
            <w:tcW w:w="3991" w:type="dxa"/>
            <w:tcBorders>
              <w:top w:val="single" w:color="000000" w:themeColor="text1" w:sz="4" w:space="0"/>
            </w:tcBorders>
            <w:shd w:val="clear" w:color="auto" w:fill="auto"/>
            <w:vAlign w:val="center"/>
          </w:tcPr>
          <w:p>
            <w:pPr>
              <w:jc w:val="center"/>
              <w:rPr>
                <w:rFonts w:ascii="宋体" w:hAnsi="宋体" w:eastAsia="宋体" w:cs="宋体"/>
                <w:sz w:val="24"/>
              </w:rPr>
            </w:pPr>
            <w:r>
              <w:rPr>
                <w:rFonts w:hint="eastAsia" w:ascii="宋体" w:hAnsi="宋体" w:eastAsia="宋体" w:cs="宋体"/>
                <w:b/>
                <w:sz w:val="24"/>
              </w:rPr>
              <w:t>内容</w:t>
            </w:r>
          </w:p>
        </w:tc>
        <w:tc>
          <w:tcPr>
            <w:tcW w:w="896" w:type="dxa"/>
            <w:tcBorders>
              <w:top w:val="single" w:color="000000" w:themeColor="text1" w:sz="4" w:space="0"/>
            </w:tcBorders>
            <w:shd w:val="clear" w:color="auto" w:fill="auto"/>
            <w:vAlign w:val="center"/>
          </w:tcPr>
          <w:p>
            <w:pPr>
              <w:jc w:val="center"/>
              <w:rPr>
                <w:rFonts w:ascii="宋体" w:hAnsi="宋体" w:eastAsia="宋体" w:cs="宋体"/>
                <w:sz w:val="24"/>
              </w:rPr>
            </w:pPr>
            <w:r>
              <w:rPr>
                <w:rFonts w:hint="eastAsia" w:ascii="宋体" w:hAnsi="宋体" w:eastAsia="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06" w:type="dxa"/>
            <w:tcBorders>
              <w:top w:val="single" w:color="000000" w:themeColor="text1" w:sz="4" w:space="0"/>
            </w:tcBorders>
            <w:shd w:val="clear" w:color="auto" w:fill="auto"/>
            <w:vAlign w:val="center"/>
          </w:tcPr>
          <w:p>
            <w:pPr>
              <w:jc w:val="center"/>
              <w:rPr>
                <w:rFonts w:ascii="宋体" w:hAnsi="宋体" w:eastAsia="宋体" w:cs="宋体"/>
                <w:sz w:val="22"/>
                <w:szCs w:val="21"/>
              </w:rPr>
            </w:pPr>
            <w:r>
              <w:rPr>
                <w:rFonts w:hint="eastAsia" w:ascii="宋体" w:hAnsi="宋体" w:eastAsia="宋体" w:cs="宋体"/>
                <w:sz w:val="22"/>
                <w:szCs w:val="21"/>
              </w:rPr>
              <w:t>1</w:t>
            </w:r>
          </w:p>
        </w:tc>
        <w:tc>
          <w:tcPr>
            <w:tcW w:w="3494" w:type="dxa"/>
            <w:tcBorders>
              <w:top w:val="single" w:color="000000" w:themeColor="text1" w:sz="4" w:space="0"/>
            </w:tcBorders>
            <w:shd w:val="clear" w:color="auto" w:fill="auto"/>
            <w:vAlign w:val="center"/>
          </w:tcPr>
          <w:p>
            <w:pPr>
              <w:jc w:val="left"/>
              <w:rPr>
                <w:rFonts w:ascii="宋体" w:hAnsi="宋体" w:eastAsia="宋体" w:cs="宋体"/>
                <w:sz w:val="22"/>
                <w:szCs w:val="21"/>
              </w:rPr>
            </w:pPr>
            <w:r>
              <w:rPr>
                <w:rFonts w:ascii="宋体" w:hAnsi="宋体" w:eastAsia="宋体" w:cs="宋体"/>
                <w:sz w:val="22"/>
                <w:szCs w:val="21"/>
              </w:rPr>
              <w:t>Brake Circuit Split &amp; Ports</w:t>
            </w:r>
            <w:r>
              <w:rPr>
                <w:rFonts w:hint="eastAsia" w:ascii="宋体" w:hAnsi="宋体" w:eastAsia="宋体" w:cs="宋体"/>
                <w:sz w:val="22"/>
                <w:szCs w:val="21"/>
              </w:rPr>
              <w:t>制动回路</w:t>
            </w:r>
          </w:p>
        </w:tc>
        <w:tc>
          <w:tcPr>
            <w:tcW w:w="3991" w:type="dxa"/>
            <w:tcBorders>
              <w:top w:val="single" w:color="000000" w:themeColor="text1" w:sz="4" w:space="0"/>
            </w:tcBorders>
            <w:shd w:val="clear" w:color="auto" w:fill="auto"/>
            <w:vAlign w:val="center"/>
          </w:tcPr>
          <w:p>
            <w:pPr>
              <w:jc w:val="center"/>
              <w:rPr>
                <w:rFonts w:ascii="宋体" w:hAnsi="宋体" w:eastAsia="宋体" w:cs="宋体"/>
                <w:sz w:val="22"/>
                <w:szCs w:val="21"/>
              </w:rPr>
            </w:pPr>
            <w:r>
              <w:rPr>
                <w:rFonts w:ascii="宋体" w:hAnsi="宋体" w:eastAsia="宋体" w:cs="宋体"/>
                <w:sz w:val="22"/>
                <w:szCs w:val="21"/>
              </w:rPr>
              <w:t xml:space="preserve"> X (Standard)</w:t>
            </w:r>
          </w:p>
        </w:tc>
        <w:tc>
          <w:tcPr>
            <w:tcW w:w="896" w:type="dxa"/>
            <w:tcBorders>
              <w:top w:val="single" w:color="000000" w:themeColor="text1" w:sz="4" w:space="0"/>
            </w:tcBorders>
            <w:shd w:val="clear" w:color="auto" w:fill="auto"/>
            <w:vAlign w:val="center"/>
          </w:tcPr>
          <w:p>
            <w:pPr>
              <w:jc w:val="center"/>
              <w:rPr>
                <w:rFonts w:ascii="宋体" w:hAnsi="宋体" w:eastAsia="宋体" w:cs="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06" w:type="dxa"/>
            <w:tcBorders>
              <w:top w:val="single" w:color="000000" w:themeColor="text1" w:sz="4" w:space="0"/>
            </w:tcBorders>
            <w:shd w:val="clear" w:color="auto" w:fill="auto"/>
            <w:vAlign w:val="center"/>
          </w:tcPr>
          <w:p>
            <w:pPr>
              <w:jc w:val="center"/>
              <w:rPr>
                <w:rFonts w:ascii="宋体" w:hAnsi="宋体" w:eastAsia="宋体" w:cs="宋体"/>
                <w:sz w:val="22"/>
                <w:szCs w:val="21"/>
              </w:rPr>
            </w:pPr>
            <w:r>
              <w:rPr>
                <w:rFonts w:ascii="宋体" w:hAnsi="宋体" w:eastAsia="宋体" w:cs="宋体"/>
                <w:sz w:val="22"/>
                <w:szCs w:val="21"/>
              </w:rPr>
              <w:t>2</w:t>
            </w:r>
          </w:p>
        </w:tc>
        <w:tc>
          <w:tcPr>
            <w:tcW w:w="3494" w:type="dxa"/>
            <w:tcBorders>
              <w:top w:val="single" w:color="000000" w:themeColor="text1" w:sz="4" w:space="0"/>
            </w:tcBorders>
            <w:shd w:val="clear" w:color="auto" w:fill="auto"/>
            <w:vAlign w:val="center"/>
          </w:tcPr>
          <w:p>
            <w:pPr>
              <w:jc w:val="left"/>
              <w:rPr>
                <w:rFonts w:ascii="宋体" w:hAnsi="宋体" w:eastAsia="宋体" w:cs="宋体"/>
                <w:sz w:val="22"/>
                <w:szCs w:val="21"/>
              </w:rPr>
            </w:pPr>
            <w:r>
              <w:rPr>
                <w:rFonts w:ascii="宋体" w:hAnsi="宋体" w:eastAsia="宋体" w:cs="宋体"/>
                <w:sz w:val="22"/>
                <w:szCs w:val="21"/>
              </w:rPr>
              <w:t>Motor Type</w:t>
            </w:r>
            <w:r>
              <w:rPr>
                <w:rFonts w:hint="eastAsia" w:ascii="宋体" w:hAnsi="宋体" w:eastAsia="宋体" w:cs="宋体"/>
                <w:sz w:val="22"/>
                <w:szCs w:val="21"/>
              </w:rPr>
              <w:t>电机型号</w:t>
            </w:r>
          </w:p>
        </w:tc>
        <w:tc>
          <w:tcPr>
            <w:tcW w:w="3991" w:type="dxa"/>
            <w:tcBorders>
              <w:top w:val="single" w:color="000000" w:themeColor="text1" w:sz="4" w:space="0"/>
            </w:tcBorders>
            <w:shd w:val="clear" w:color="auto" w:fill="auto"/>
            <w:vAlign w:val="center"/>
          </w:tcPr>
          <w:p>
            <w:pPr>
              <w:jc w:val="center"/>
              <w:rPr>
                <w:rFonts w:ascii="宋体" w:hAnsi="宋体" w:eastAsia="宋体" w:cs="宋体"/>
                <w:sz w:val="22"/>
                <w:szCs w:val="21"/>
              </w:rPr>
            </w:pPr>
            <w:r>
              <w:rPr>
                <w:rFonts w:ascii="宋体" w:hAnsi="宋体" w:eastAsia="宋体" w:cs="宋体"/>
                <w:sz w:val="22"/>
                <w:szCs w:val="21"/>
              </w:rPr>
              <w:t xml:space="preserve"> F-TE08</w:t>
            </w:r>
          </w:p>
        </w:tc>
        <w:tc>
          <w:tcPr>
            <w:tcW w:w="896" w:type="dxa"/>
            <w:tcBorders>
              <w:top w:val="single" w:color="000000" w:themeColor="text1" w:sz="4" w:space="0"/>
            </w:tcBorders>
            <w:shd w:val="clear" w:color="auto" w:fill="auto"/>
            <w:vAlign w:val="center"/>
          </w:tcPr>
          <w:p>
            <w:pPr>
              <w:jc w:val="center"/>
              <w:rPr>
                <w:rFonts w:ascii="宋体" w:hAnsi="宋体" w:cs="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06" w:type="dxa"/>
            <w:shd w:val="clear" w:color="auto" w:fill="auto"/>
            <w:vAlign w:val="center"/>
          </w:tcPr>
          <w:p>
            <w:pPr>
              <w:jc w:val="center"/>
              <w:rPr>
                <w:rFonts w:ascii="宋体" w:hAnsi="宋体" w:eastAsia="宋体" w:cs="宋体"/>
                <w:sz w:val="22"/>
                <w:szCs w:val="21"/>
              </w:rPr>
            </w:pPr>
            <w:r>
              <w:rPr>
                <w:rFonts w:ascii="宋体" w:hAnsi="宋体" w:eastAsia="宋体" w:cs="宋体"/>
                <w:sz w:val="22"/>
                <w:szCs w:val="21"/>
              </w:rPr>
              <w:t>3</w:t>
            </w:r>
          </w:p>
        </w:tc>
        <w:tc>
          <w:tcPr>
            <w:tcW w:w="3494" w:type="dxa"/>
            <w:shd w:val="clear" w:color="auto" w:fill="auto"/>
            <w:vAlign w:val="center"/>
          </w:tcPr>
          <w:p>
            <w:pPr>
              <w:jc w:val="left"/>
              <w:rPr>
                <w:rFonts w:ascii="宋体" w:hAnsi="宋体" w:eastAsia="宋体" w:cs="宋体"/>
                <w:sz w:val="22"/>
                <w:szCs w:val="21"/>
              </w:rPr>
            </w:pPr>
            <w:r>
              <w:rPr>
                <w:rFonts w:ascii="宋体" w:hAnsi="宋体" w:eastAsia="宋体" w:cs="宋体"/>
                <w:sz w:val="22"/>
                <w:szCs w:val="21"/>
              </w:rPr>
              <w:t>Accum. size circuit 1 [cc]</w:t>
            </w:r>
          </w:p>
        </w:tc>
        <w:tc>
          <w:tcPr>
            <w:tcW w:w="3991" w:type="dxa"/>
            <w:shd w:val="clear" w:color="auto" w:fill="auto"/>
            <w:vAlign w:val="center"/>
          </w:tcPr>
          <w:p>
            <w:pPr>
              <w:jc w:val="center"/>
              <w:rPr>
                <w:rFonts w:ascii="宋体" w:hAnsi="宋体" w:eastAsia="宋体" w:cs="宋体"/>
                <w:sz w:val="22"/>
                <w:szCs w:val="21"/>
              </w:rPr>
            </w:pPr>
            <w:r>
              <w:rPr>
                <w:rFonts w:ascii="宋体" w:hAnsi="宋体" w:eastAsia="宋体" w:cs="宋体"/>
                <w:sz w:val="22"/>
                <w:szCs w:val="21"/>
              </w:rPr>
              <w:t xml:space="preserve"> 5.5 ccm (LPA+RVR)</w:t>
            </w:r>
          </w:p>
        </w:tc>
        <w:tc>
          <w:tcPr>
            <w:tcW w:w="896" w:type="dxa"/>
            <w:shd w:val="clear" w:color="auto" w:fill="auto"/>
            <w:vAlign w:val="center"/>
          </w:tcPr>
          <w:p>
            <w:pPr>
              <w:jc w:val="center"/>
              <w:rPr>
                <w:rFonts w:ascii="宋体" w:hAnsi="宋体" w:eastAsia="宋体" w:cs="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06" w:type="dxa"/>
            <w:shd w:val="clear" w:color="auto" w:fill="auto"/>
            <w:vAlign w:val="center"/>
          </w:tcPr>
          <w:p>
            <w:pPr>
              <w:jc w:val="center"/>
              <w:rPr>
                <w:rFonts w:ascii="宋体" w:hAnsi="宋体" w:eastAsia="宋体" w:cs="宋体"/>
                <w:sz w:val="22"/>
                <w:szCs w:val="21"/>
              </w:rPr>
            </w:pPr>
            <w:r>
              <w:rPr>
                <w:rFonts w:hint="eastAsia" w:ascii="宋体" w:hAnsi="宋体" w:eastAsia="宋体" w:cs="宋体"/>
                <w:sz w:val="22"/>
                <w:szCs w:val="21"/>
              </w:rPr>
              <w:t>4</w:t>
            </w:r>
          </w:p>
        </w:tc>
        <w:tc>
          <w:tcPr>
            <w:tcW w:w="3494" w:type="dxa"/>
            <w:shd w:val="clear" w:color="auto" w:fill="auto"/>
            <w:vAlign w:val="center"/>
          </w:tcPr>
          <w:p>
            <w:pPr>
              <w:jc w:val="left"/>
              <w:rPr>
                <w:rFonts w:ascii="宋体" w:hAnsi="宋体" w:eastAsia="宋体" w:cs="宋体"/>
                <w:sz w:val="22"/>
                <w:szCs w:val="21"/>
              </w:rPr>
            </w:pPr>
            <w:r>
              <w:rPr>
                <w:rFonts w:ascii="宋体" w:hAnsi="宋体" w:eastAsia="宋体" w:cs="宋体"/>
                <w:sz w:val="22"/>
                <w:szCs w:val="21"/>
              </w:rPr>
              <w:t>Accum. size circuit 2 [cc]</w:t>
            </w:r>
          </w:p>
        </w:tc>
        <w:tc>
          <w:tcPr>
            <w:tcW w:w="3991" w:type="dxa"/>
            <w:shd w:val="clear" w:color="auto" w:fill="auto"/>
            <w:vAlign w:val="center"/>
          </w:tcPr>
          <w:p>
            <w:pPr>
              <w:jc w:val="center"/>
              <w:rPr>
                <w:rFonts w:ascii="宋体" w:hAnsi="宋体" w:eastAsia="宋体" w:cs="宋体"/>
                <w:sz w:val="22"/>
                <w:szCs w:val="21"/>
              </w:rPr>
            </w:pPr>
            <w:r>
              <w:rPr>
                <w:rFonts w:ascii="宋体" w:hAnsi="宋体" w:eastAsia="宋体" w:cs="宋体"/>
                <w:sz w:val="22"/>
                <w:szCs w:val="21"/>
              </w:rPr>
              <w:t xml:space="preserve"> 5.5 ccm (LPA+RVR)</w:t>
            </w:r>
          </w:p>
        </w:tc>
        <w:tc>
          <w:tcPr>
            <w:tcW w:w="896" w:type="dxa"/>
            <w:shd w:val="clear" w:color="auto" w:fill="auto"/>
            <w:vAlign w:val="center"/>
          </w:tcPr>
          <w:p>
            <w:pPr>
              <w:jc w:val="center"/>
              <w:rPr>
                <w:rFonts w:ascii="宋体" w:hAnsi="宋体" w:eastAsia="宋体" w:cs="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06" w:type="dxa"/>
            <w:shd w:val="clear" w:color="auto" w:fill="auto"/>
            <w:vAlign w:val="center"/>
          </w:tcPr>
          <w:p>
            <w:pPr>
              <w:jc w:val="center"/>
              <w:rPr>
                <w:rFonts w:ascii="宋体" w:hAnsi="宋体" w:eastAsia="宋体" w:cs="宋体"/>
                <w:sz w:val="22"/>
                <w:szCs w:val="21"/>
              </w:rPr>
            </w:pPr>
            <w:r>
              <w:rPr>
                <w:rFonts w:hint="eastAsia" w:ascii="宋体" w:hAnsi="宋体" w:eastAsia="宋体" w:cs="宋体"/>
                <w:sz w:val="22"/>
                <w:szCs w:val="21"/>
              </w:rPr>
              <w:t>5</w:t>
            </w:r>
          </w:p>
        </w:tc>
        <w:tc>
          <w:tcPr>
            <w:tcW w:w="3494" w:type="dxa"/>
            <w:shd w:val="clear" w:color="auto" w:fill="auto"/>
            <w:vAlign w:val="center"/>
          </w:tcPr>
          <w:p>
            <w:pPr>
              <w:jc w:val="left"/>
              <w:rPr>
                <w:rFonts w:ascii="宋体" w:hAnsi="宋体" w:eastAsia="宋体" w:cs="宋体"/>
                <w:sz w:val="22"/>
                <w:szCs w:val="21"/>
              </w:rPr>
            </w:pPr>
            <w:r>
              <w:rPr>
                <w:rFonts w:ascii="宋体" w:hAnsi="宋体" w:eastAsia="宋体" w:cs="宋体"/>
                <w:sz w:val="22"/>
                <w:szCs w:val="21"/>
              </w:rPr>
              <w:t>Pressure Sensors MC</w:t>
            </w:r>
            <w:r>
              <w:rPr>
                <w:rFonts w:hint="eastAsia" w:ascii="宋体" w:hAnsi="宋体" w:eastAsia="宋体" w:cs="宋体"/>
                <w:sz w:val="22"/>
                <w:szCs w:val="21"/>
              </w:rPr>
              <w:t>主缸压力传感器</w:t>
            </w:r>
          </w:p>
        </w:tc>
        <w:tc>
          <w:tcPr>
            <w:tcW w:w="3991" w:type="dxa"/>
            <w:shd w:val="clear" w:color="auto" w:fill="auto"/>
            <w:vAlign w:val="center"/>
          </w:tcPr>
          <w:p>
            <w:pPr>
              <w:jc w:val="center"/>
              <w:rPr>
                <w:rFonts w:ascii="宋体" w:hAnsi="宋体" w:eastAsia="宋体" w:cs="宋体"/>
                <w:sz w:val="22"/>
                <w:szCs w:val="21"/>
              </w:rPr>
            </w:pPr>
            <w:r>
              <w:rPr>
                <w:rFonts w:ascii="宋体" w:hAnsi="宋体" w:eastAsia="宋体" w:cs="宋体"/>
                <w:sz w:val="22"/>
                <w:szCs w:val="21"/>
              </w:rPr>
              <w:t xml:space="preserve"> 1xDS10</w:t>
            </w:r>
          </w:p>
        </w:tc>
        <w:tc>
          <w:tcPr>
            <w:tcW w:w="896" w:type="dxa"/>
            <w:shd w:val="clear" w:color="auto" w:fill="auto"/>
            <w:vAlign w:val="center"/>
          </w:tcPr>
          <w:p>
            <w:pPr>
              <w:jc w:val="center"/>
              <w:rPr>
                <w:rFonts w:ascii="宋体" w:hAnsi="宋体" w:eastAsia="宋体" w:cs="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06" w:type="dxa"/>
            <w:shd w:val="clear" w:color="auto" w:fill="auto"/>
            <w:vAlign w:val="center"/>
          </w:tcPr>
          <w:p>
            <w:pPr>
              <w:jc w:val="center"/>
              <w:rPr>
                <w:rFonts w:ascii="宋体" w:hAnsi="宋体" w:eastAsia="宋体" w:cs="宋体"/>
                <w:sz w:val="22"/>
                <w:szCs w:val="21"/>
              </w:rPr>
            </w:pPr>
            <w:r>
              <w:rPr>
                <w:rFonts w:hint="eastAsia" w:ascii="宋体" w:hAnsi="宋体" w:eastAsia="宋体" w:cs="宋体"/>
                <w:sz w:val="22"/>
                <w:szCs w:val="21"/>
              </w:rPr>
              <w:t>6</w:t>
            </w:r>
          </w:p>
        </w:tc>
        <w:tc>
          <w:tcPr>
            <w:tcW w:w="3494" w:type="dxa"/>
            <w:shd w:val="clear" w:color="auto" w:fill="auto"/>
            <w:vAlign w:val="center"/>
          </w:tcPr>
          <w:p>
            <w:pPr>
              <w:jc w:val="left"/>
              <w:rPr>
                <w:rFonts w:ascii="宋体" w:hAnsi="宋体" w:eastAsia="宋体" w:cs="宋体"/>
                <w:sz w:val="22"/>
                <w:szCs w:val="21"/>
              </w:rPr>
            </w:pPr>
            <w:r>
              <w:rPr>
                <w:rFonts w:ascii="宋体" w:hAnsi="宋体" w:eastAsia="宋体" w:cs="宋体"/>
                <w:sz w:val="22"/>
                <w:szCs w:val="21"/>
              </w:rPr>
              <w:t>Layout-Dotvariant ECU</w:t>
            </w:r>
            <w:r>
              <w:rPr>
                <w:rFonts w:hint="eastAsia" w:ascii="宋体" w:hAnsi="宋体" w:eastAsia="宋体" w:cs="宋体"/>
                <w:sz w:val="22"/>
                <w:szCs w:val="21"/>
              </w:rPr>
              <w:t>型号</w:t>
            </w:r>
          </w:p>
        </w:tc>
        <w:tc>
          <w:tcPr>
            <w:tcW w:w="3991" w:type="dxa"/>
            <w:shd w:val="clear" w:color="auto" w:fill="auto"/>
            <w:vAlign w:val="center"/>
          </w:tcPr>
          <w:p>
            <w:pPr>
              <w:jc w:val="center"/>
              <w:rPr>
                <w:rFonts w:ascii="宋体" w:hAnsi="宋体" w:eastAsia="宋体" w:cs="宋体"/>
                <w:sz w:val="22"/>
                <w:szCs w:val="21"/>
              </w:rPr>
            </w:pPr>
            <w:r>
              <w:rPr>
                <w:rFonts w:ascii="宋体" w:hAnsi="宋体" w:eastAsia="宋体" w:cs="宋体"/>
                <w:sz w:val="22"/>
                <w:szCs w:val="21"/>
              </w:rPr>
              <w:t>EV7146.06</w:t>
            </w:r>
          </w:p>
        </w:tc>
        <w:tc>
          <w:tcPr>
            <w:tcW w:w="896" w:type="dxa"/>
            <w:shd w:val="clear" w:color="auto" w:fill="auto"/>
            <w:vAlign w:val="center"/>
          </w:tcPr>
          <w:p>
            <w:pPr>
              <w:jc w:val="center"/>
              <w:rPr>
                <w:rFonts w:ascii="宋体" w:hAnsi="宋体" w:eastAsia="宋体" w:cs="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06" w:type="dxa"/>
            <w:shd w:val="clear" w:color="auto" w:fill="auto"/>
            <w:vAlign w:val="center"/>
          </w:tcPr>
          <w:p>
            <w:pPr>
              <w:jc w:val="center"/>
              <w:rPr>
                <w:rFonts w:ascii="宋体" w:hAnsi="宋体" w:eastAsia="宋体" w:cs="宋体"/>
                <w:sz w:val="22"/>
                <w:szCs w:val="21"/>
              </w:rPr>
            </w:pPr>
            <w:r>
              <w:rPr>
                <w:rFonts w:hint="eastAsia" w:ascii="宋体" w:hAnsi="宋体" w:eastAsia="宋体" w:cs="宋体"/>
                <w:sz w:val="22"/>
                <w:szCs w:val="21"/>
              </w:rPr>
              <w:t>7</w:t>
            </w:r>
          </w:p>
        </w:tc>
        <w:tc>
          <w:tcPr>
            <w:tcW w:w="3494" w:type="dxa"/>
            <w:shd w:val="clear" w:color="auto" w:fill="auto"/>
            <w:vAlign w:val="center"/>
          </w:tcPr>
          <w:p>
            <w:pPr>
              <w:jc w:val="left"/>
              <w:rPr>
                <w:rFonts w:ascii="宋体" w:hAnsi="宋体" w:eastAsia="宋体" w:cs="宋体"/>
                <w:sz w:val="22"/>
                <w:szCs w:val="21"/>
              </w:rPr>
            </w:pPr>
            <w:r>
              <w:rPr>
                <w:rFonts w:ascii="宋体" w:hAnsi="宋体" w:eastAsia="宋体" w:cs="宋体"/>
                <w:sz w:val="22"/>
                <w:szCs w:val="21"/>
              </w:rPr>
              <w:t xml:space="preserve">System Variant </w:t>
            </w:r>
            <w:r>
              <w:rPr>
                <w:rFonts w:hint="eastAsia" w:ascii="宋体" w:hAnsi="宋体" w:eastAsia="宋体" w:cs="宋体"/>
                <w:sz w:val="22"/>
                <w:szCs w:val="21"/>
              </w:rPr>
              <w:t>样件类型</w:t>
            </w:r>
          </w:p>
        </w:tc>
        <w:tc>
          <w:tcPr>
            <w:tcW w:w="3991" w:type="dxa"/>
            <w:shd w:val="clear" w:color="auto" w:fill="auto"/>
            <w:vAlign w:val="center"/>
          </w:tcPr>
          <w:p>
            <w:pPr>
              <w:jc w:val="center"/>
              <w:rPr>
                <w:rFonts w:ascii="宋体" w:hAnsi="宋体" w:eastAsia="宋体" w:cs="宋体"/>
                <w:sz w:val="22"/>
                <w:szCs w:val="21"/>
              </w:rPr>
            </w:pPr>
            <w:r>
              <w:rPr>
                <w:rFonts w:ascii="宋体" w:hAnsi="宋体" w:eastAsia="宋体" w:cs="宋体"/>
                <w:sz w:val="22"/>
                <w:szCs w:val="21"/>
              </w:rPr>
              <w:t>ESP9.3 Plus</w:t>
            </w:r>
          </w:p>
        </w:tc>
        <w:tc>
          <w:tcPr>
            <w:tcW w:w="896" w:type="dxa"/>
            <w:shd w:val="clear" w:color="auto" w:fill="auto"/>
            <w:vAlign w:val="center"/>
          </w:tcPr>
          <w:p>
            <w:pPr>
              <w:jc w:val="center"/>
              <w:rPr>
                <w:rFonts w:ascii="宋体" w:hAnsi="宋体" w:eastAsia="宋体" w:cs="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06" w:type="dxa"/>
            <w:shd w:val="clear" w:color="auto" w:fill="auto"/>
            <w:vAlign w:val="center"/>
          </w:tcPr>
          <w:p>
            <w:pPr>
              <w:jc w:val="center"/>
              <w:rPr>
                <w:rFonts w:hint="eastAsia" w:ascii="宋体" w:hAnsi="宋体" w:eastAsia="宋体" w:cs="宋体"/>
                <w:sz w:val="22"/>
                <w:szCs w:val="21"/>
              </w:rPr>
            </w:pPr>
            <w:r>
              <w:rPr>
                <w:rFonts w:hint="eastAsia" w:ascii="宋体" w:hAnsi="宋体" w:eastAsia="宋体" w:cs="宋体"/>
                <w:sz w:val="22"/>
                <w:szCs w:val="21"/>
              </w:rPr>
              <w:t>8</w:t>
            </w:r>
          </w:p>
        </w:tc>
        <w:tc>
          <w:tcPr>
            <w:tcW w:w="3494" w:type="dxa"/>
            <w:shd w:val="clear" w:color="auto" w:fill="auto"/>
            <w:vAlign w:val="center"/>
          </w:tcPr>
          <w:p>
            <w:pPr>
              <w:rPr>
                <w:rFonts w:hint="eastAsia" w:ascii="宋体" w:hAnsi="宋体" w:eastAsia="宋体" w:cs="宋体"/>
                <w:sz w:val="22"/>
                <w:szCs w:val="21"/>
              </w:rPr>
            </w:pPr>
            <w:r>
              <w:rPr>
                <w:rFonts w:hint="eastAsia" w:ascii="宋体" w:hAnsi="宋体" w:eastAsia="宋体" w:cs="宋体"/>
                <w:sz w:val="22"/>
                <w:szCs w:val="21"/>
              </w:rPr>
              <w:t>进、出油口</w:t>
            </w:r>
          </w:p>
        </w:tc>
        <w:tc>
          <w:tcPr>
            <w:tcW w:w="3991" w:type="dxa"/>
            <w:shd w:val="clear" w:color="auto" w:fill="auto"/>
            <w:vAlign w:val="center"/>
          </w:tcPr>
          <w:p>
            <w:pPr>
              <w:jc w:val="center"/>
              <w:rPr>
                <w:rFonts w:hint="eastAsia" w:ascii="宋体" w:hAnsi="宋体" w:eastAsia="宋体" w:cs="宋体"/>
                <w:sz w:val="22"/>
                <w:szCs w:val="21"/>
              </w:rPr>
            </w:pPr>
            <w:r>
              <w:rPr>
                <w:rFonts w:hint="eastAsia" w:ascii="宋体" w:hAnsi="宋体" w:eastAsia="宋体" w:cs="宋体"/>
                <w:sz w:val="22"/>
                <w:szCs w:val="21"/>
              </w:rPr>
              <w:t>规格同E</w:t>
            </w:r>
            <w:r>
              <w:rPr>
                <w:rFonts w:ascii="宋体" w:hAnsi="宋体" w:eastAsia="宋体" w:cs="宋体"/>
                <w:sz w:val="22"/>
                <w:szCs w:val="21"/>
              </w:rPr>
              <w:t>SP</w:t>
            </w:r>
            <w:r>
              <w:rPr>
                <w:rFonts w:hint="eastAsia" w:ascii="宋体" w:hAnsi="宋体" w:eastAsia="宋体" w:cs="宋体"/>
                <w:sz w:val="22"/>
                <w:szCs w:val="21"/>
              </w:rPr>
              <w:t>样件</w:t>
            </w:r>
          </w:p>
        </w:tc>
        <w:tc>
          <w:tcPr>
            <w:tcW w:w="896" w:type="dxa"/>
            <w:shd w:val="clear" w:color="auto" w:fill="auto"/>
            <w:vAlign w:val="center"/>
          </w:tcPr>
          <w:p>
            <w:pPr>
              <w:jc w:val="center"/>
              <w:rPr>
                <w:rFonts w:ascii="宋体" w:hAnsi="宋体" w:eastAsia="宋体" w:cs="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06" w:type="dxa"/>
            <w:shd w:val="clear" w:color="auto" w:fill="auto"/>
            <w:vAlign w:val="center"/>
          </w:tcPr>
          <w:p>
            <w:pPr>
              <w:jc w:val="center"/>
              <w:rPr>
                <w:rFonts w:hint="eastAsia" w:ascii="宋体" w:hAnsi="宋体" w:eastAsia="宋体" w:cs="宋体"/>
                <w:sz w:val="22"/>
                <w:szCs w:val="21"/>
              </w:rPr>
            </w:pPr>
            <w:r>
              <w:rPr>
                <w:rFonts w:hint="eastAsia" w:ascii="宋体" w:hAnsi="宋体" w:eastAsia="宋体" w:cs="宋体"/>
                <w:sz w:val="22"/>
                <w:szCs w:val="21"/>
              </w:rPr>
              <w:t>9</w:t>
            </w:r>
          </w:p>
        </w:tc>
        <w:tc>
          <w:tcPr>
            <w:tcW w:w="3494" w:type="dxa"/>
            <w:shd w:val="clear" w:color="auto" w:fill="auto"/>
            <w:vAlign w:val="center"/>
          </w:tcPr>
          <w:p>
            <w:pPr>
              <w:rPr>
                <w:rFonts w:hint="eastAsia" w:ascii="宋体" w:hAnsi="宋体" w:eastAsia="宋体" w:cs="宋体"/>
                <w:sz w:val="22"/>
                <w:szCs w:val="21"/>
              </w:rPr>
            </w:pPr>
            <w:r>
              <w:rPr>
                <w:rFonts w:hint="eastAsia" w:ascii="宋体" w:hAnsi="宋体" w:eastAsia="宋体" w:cs="宋体"/>
                <w:sz w:val="22"/>
                <w:szCs w:val="21"/>
              </w:rPr>
              <w:t>电器插件</w:t>
            </w:r>
          </w:p>
        </w:tc>
        <w:tc>
          <w:tcPr>
            <w:tcW w:w="3991" w:type="dxa"/>
            <w:shd w:val="clear" w:color="auto" w:fill="auto"/>
            <w:vAlign w:val="center"/>
          </w:tcPr>
          <w:p>
            <w:pPr>
              <w:jc w:val="center"/>
              <w:rPr>
                <w:rFonts w:hint="eastAsia" w:ascii="宋体" w:hAnsi="宋体" w:eastAsia="宋体" w:cs="宋体"/>
                <w:sz w:val="22"/>
                <w:szCs w:val="21"/>
              </w:rPr>
            </w:pPr>
            <w:r>
              <w:rPr>
                <w:rFonts w:hint="eastAsia" w:ascii="宋体" w:hAnsi="宋体" w:eastAsia="宋体" w:cs="宋体"/>
                <w:sz w:val="22"/>
                <w:szCs w:val="21"/>
              </w:rPr>
              <w:t>46pin接头同E</w:t>
            </w:r>
            <w:r>
              <w:rPr>
                <w:rFonts w:ascii="宋体" w:hAnsi="宋体" w:eastAsia="宋体" w:cs="宋体"/>
                <w:sz w:val="22"/>
                <w:szCs w:val="21"/>
              </w:rPr>
              <w:t>SP</w:t>
            </w:r>
            <w:r>
              <w:rPr>
                <w:rFonts w:hint="eastAsia" w:ascii="宋体" w:hAnsi="宋体" w:eastAsia="宋体" w:cs="宋体"/>
                <w:sz w:val="22"/>
                <w:szCs w:val="21"/>
              </w:rPr>
              <w:t>样件，增加和V</w:t>
            </w:r>
            <w:r>
              <w:rPr>
                <w:rFonts w:ascii="宋体" w:hAnsi="宋体" w:eastAsia="宋体" w:cs="宋体"/>
                <w:sz w:val="22"/>
                <w:szCs w:val="21"/>
              </w:rPr>
              <w:t>X</w:t>
            </w:r>
            <w:r>
              <w:rPr>
                <w:rFonts w:hint="eastAsia" w:ascii="宋体" w:hAnsi="宋体" w:eastAsia="宋体" w:cs="宋体"/>
                <w:sz w:val="22"/>
                <w:szCs w:val="21"/>
              </w:rPr>
              <w:t>1135连接线束</w:t>
            </w:r>
          </w:p>
        </w:tc>
        <w:tc>
          <w:tcPr>
            <w:tcW w:w="896" w:type="dxa"/>
            <w:shd w:val="clear" w:color="auto" w:fill="auto"/>
            <w:vAlign w:val="center"/>
          </w:tcPr>
          <w:p>
            <w:pPr>
              <w:jc w:val="center"/>
              <w:rPr>
                <w:rFonts w:ascii="宋体" w:hAnsi="宋体" w:eastAsia="宋体" w:cs="宋体"/>
                <w:sz w:val="22"/>
                <w:szCs w:val="21"/>
              </w:rPr>
            </w:pPr>
          </w:p>
        </w:tc>
      </w:tr>
    </w:tbl>
    <w:p>
      <w:pPr>
        <w:spacing w:line="360" w:lineRule="auto"/>
        <w:ind w:firstLine="480" w:firstLineChars="200"/>
        <w:rPr>
          <w:rFonts w:ascii="宋体" w:hAnsi="宋体" w:eastAsia="宋体" w:cs="Times New Roman"/>
          <w:sz w:val="24"/>
          <w:szCs w:val="24"/>
        </w:rPr>
      </w:pPr>
    </w:p>
    <w:p>
      <w:pPr>
        <w:spacing w:line="360" w:lineRule="auto"/>
        <w:ind w:firstLine="482" w:firstLineChars="200"/>
        <w:rPr>
          <w:rFonts w:hint="eastAsia" w:ascii="宋体" w:hAnsi="宋体" w:eastAsia="宋体" w:cs="Times New Roman"/>
          <w:b/>
          <w:bCs/>
          <w:sz w:val="24"/>
          <w:szCs w:val="24"/>
        </w:rPr>
      </w:pPr>
      <w:r>
        <w:rPr>
          <w:rFonts w:ascii="宋体" w:hAnsi="宋体" w:eastAsia="宋体" w:cs="Times New Roman"/>
          <w:b/>
          <w:bCs/>
          <w:sz w:val="24"/>
          <w:szCs w:val="24"/>
        </w:rPr>
        <w:t>3.4 XFLASH</w:t>
      </w:r>
      <w:r>
        <w:rPr>
          <w:rFonts w:hint="eastAsia" w:ascii="宋体" w:hAnsi="宋体" w:eastAsia="宋体" w:cs="Times New Roman"/>
          <w:b/>
          <w:bCs/>
          <w:sz w:val="24"/>
          <w:szCs w:val="24"/>
        </w:rPr>
        <w:t>及</w:t>
      </w:r>
      <w:r>
        <w:rPr>
          <w:rFonts w:ascii="宋体" w:hAnsi="宋体" w:eastAsia="宋体" w:cs="Times New Roman"/>
          <w:b/>
          <w:bCs/>
          <w:sz w:val="24"/>
          <w:szCs w:val="24"/>
        </w:rPr>
        <w:t>MM6</w:t>
      </w:r>
      <w:r>
        <w:rPr>
          <w:rFonts w:hint="eastAsia" w:ascii="宋体" w:hAnsi="宋体" w:eastAsia="宋体" w:cs="Times New Roman"/>
          <w:b/>
          <w:bCs/>
          <w:sz w:val="24"/>
          <w:szCs w:val="24"/>
        </w:rPr>
        <w:t>功能概述</w:t>
      </w:r>
    </w:p>
    <w:p>
      <w:pPr>
        <w:spacing w:line="360" w:lineRule="auto"/>
        <w:ind w:firstLine="482" w:firstLineChars="200"/>
        <w:rPr>
          <w:rFonts w:hint="eastAsia" w:eastAsia="宋体" w:cs="宋体"/>
          <w:sz w:val="24"/>
          <w:szCs w:val="24"/>
        </w:rPr>
      </w:pPr>
      <w:r>
        <w:rPr>
          <w:rFonts w:hint="eastAsia" w:ascii="宋体" w:hAnsi="宋体" w:eastAsia="宋体" w:cs="Times New Roman"/>
          <w:b/>
          <w:bCs/>
          <w:sz w:val="24"/>
          <w:szCs w:val="24"/>
        </w:rPr>
        <w:t>X</w:t>
      </w:r>
      <w:r>
        <w:rPr>
          <w:rFonts w:ascii="宋体" w:hAnsi="宋体" w:eastAsia="宋体" w:cs="Times New Roman"/>
          <w:b/>
          <w:bCs/>
          <w:sz w:val="24"/>
          <w:szCs w:val="24"/>
        </w:rPr>
        <w:t>F</w:t>
      </w:r>
      <w:r>
        <w:rPr>
          <w:rFonts w:hint="eastAsia" w:ascii="宋体" w:hAnsi="宋体" w:eastAsia="宋体" w:cs="Times New Roman"/>
          <w:b/>
          <w:bCs/>
          <w:sz w:val="24"/>
          <w:szCs w:val="24"/>
        </w:rPr>
        <w:t>lash</w:t>
      </w:r>
      <w:r>
        <w:rPr>
          <w:rFonts w:hint="eastAsia" w:ascii="宋体" w:hAnsi="宋体" w:eastAsia="宋体" w:cs="Times New Roman"/>
          <w:sz w:val="24"/>
          <w:szCs w:val="24"/>
        </w:rPr>
        <w:t>：</w:t>
      </w:r>
      <w:r>
        <w:rPr>
          <w:rFonts w:eastAsia="宋体" w:cs="宋体"/>
          <w:sz w:val="24"/>
          <w:szCs w:val="24"/>
        </w:rPr>
        <w:t>XFlash</w:t>
      </w:r>
      <w:r>
        <w:rPr>
          <w:rFonts w:hint="eastAsia" w:eastAsia="宋体" w:cs="宋体"/>
          <w:sz w:val="24"/>
          <w:szCs w:val="24"/>
        </w:rPr>
        <w:t>软件是一款主要用于进行</w:t>
      </w:r>
      <w:r>
        <w:rPr>
          <w:rFonts w:eastAsia="宋体" w:cs="宋体"/>
          <w:sz w:val="24"/>
          <w:szCs w:val="24"/>
        </w:rPr>
        <w:t>ESP</w:t>
      </w:r>
      <w:r>
        <w:rPr>
          <w:rFonts w:hint="eastAsia" w:eastAsia="宋体" w:cs="宋体"/>
          <w:sz w:val="24"/>
          <w:szCs w:val="24"/>
        </w:rPr>
        <w:t>软件刷写的工具，其可以通过不同比特率，不同端口进行软件刷写，支持连接</w:t>
      </w:r>
      <w:r>
        <w:rPr>
          <w:rFonts w:eastAsia="宋体" w:cs="宋体"/>
          <w:sz w:val="24"/>
          <w:szCs w:val="24"/>
        </w:rPr>
        <w:t>Vector</w:t>
      </w:r>
      <w:r>
        <w:rPr>
          <w:rFonts w:hint="eastAsia" w:eastAsia="宋体" w:cs="宋体"/>
          <w:sz w:val="24"/>
          <w:szCs w:val="24"/>
        </w:rPr>
        <w:t>设备例如</w:t>
      </w:r>
      <w:r>
        <w:rPr>
          <w:rFonts w:eastAsia="宋体" w:cs="宋体"/>
          <w:sz w:val="24"/>
          <w:szCs w:val="24"/>
        </w:rPr>
        <w:t>1630</w:t>
      </w:r>
      <w:r>
        <w:rPr>
          <w:rFonts w:hint="eastAsia" w:eastAsia="宋体" w:cs="宋体"/>
          <w:sz w:val="24"/>
          <w:szCs w:val="24"/>
        </w:rPr>
        <w:t>，同时具有</w:t>
      </w:r>
      <w:r>
        <w:rPr>
          <w:rFonts w:eastAsia="宋体" w:cs="宋体"/>
          <w:sz w:val="24"/>
          <w:szCs w:val="24"/>
        </w:rPr>
        <w:t>CAN</w:t>
      </w:r>
      <w:r>
        <w:rPr>
          <w:rFonts w:hint="eastAsia" w:eastAsia="宋体" w:cs="宋体"/>
          <w:sz w:val="24"/>
          <w:szCs w:val="24"/>
        </w:rPr>
        <w:t>，</w:t>
      </w:r>
      <w:r>
        <w:rPr>
          <w:rFonts w:eastAsia="宋体" w:cs="宋体"/>
          <w:sz w:val="24"/>
          <w:szCs w:val="24"/>
        </w:rPr>
        <w:t xml:space="preserve"> CANFD</w:t>
      </w:r>
      <w:r>
        <w:rPr>
          <w:rFonts w:hint="eastAsia" w:eastAsia="宋体" w:cs="宋体"/>
          <w:sz w:val="24"/>
          <w:szCs w:val="24"/>
        </w:rPr>
        <w:t>两种刷写方式。</w:t>
      </w:r>
    </w:p>
    <w:p>
      <w:pPr>
        <w:spacing w:line="360" w:lineRule="auto"/>
        <w:ind w:firstLine="482" w:firstLineChars="200"/>
        <w:rPr>
          <w:rFonts w:hint="eastAsia" w:ascii="宋体" w:hAnsi="宋体" w:eastAsia="宋体" w:cs="Times New Roman"/>
          <w:sz w:val="24"/>
          <w:szCs w:val="24"/>
        </w:rPr>
      </w:pPr>
      <w:r>
        <w:rPr>
          <w:rFonts w:ascii="宋体" w:hAnsi="宋体" w:eastAsia="宋体" w:cs="Times New Roman"/>
          <w:b/>
          <w:bCs/>
          <w:sz w:val="24"/>
          <w:szCs w:val="24"/>
        </w:rPr>
        <w:t>MM6</w:t>
      </w:r>
      <w:r>
        <w:rPr>
          <w:rFonts w:hint="eastAsia" w:ascii="宋体" w:hAnsi="宋体" w:eastAsia="宋体" w:cs="Times New Roman"/>
          <w:sz w:val="24"/>
          <w:szCs w:val="24"/>
        </w:rPr>
        <w:t>：</w:t>
      </w:r>
      <w:r>
        <w:rPr>
          <w:rFonts w:eastAsia="宋体" w:cs="宋体"/>
          <w:sz w:val="24"/>
          <w:szCs w:val="24"/>
        </w:rPr>
        <w:t>MM6</w:t>
      </w:r>
      <w:r>
        <w:rPr>
          <w:rFonts w:hint="eastAsia" w:eastAsia="宋体" w:cs="宋体"/>
          <w:sz w:val="24"/>
          <w:szCs w:val="24"/>
        </w:rPr>
        <w:t>是一款可用于进行</w:t>
      </w:r>
      <w:r>
        <w:rPr>
          <w:rFonts w:eastAsia="宋体" w:cs="宋体"/>
          <w:sz w:val="24"/>
          <w:szCs w:val="24"/>
        </w:rPr>
        <w:t>ESP</w:t>
      </w:r>
      <w:r>
        <w:rPr>
          <w:rFonts w:hint="eastAsia" w:eastAsia="宋体" w:cs="宋体"/>
          <w:sz w:val="24"/>
          <w:szCs w:val="24"/>
        </w:rPr>
        <w:t>标定的工具软件，其具有和多数</w:t>
      </w:r>
      <w:r>
        <w:rPr>
          <w:rFonts w:eastAsia="宋体" w:cs="宋体"/>
          <w:sz w:val="24"/>
          <w:szCs w:val="24"/>
        </w:rPr>
        <w:t>Vector </w:t>
      </w:r>
      <w:r>
        <w:rPr>
          <w:rFonts w:hint="eastAsia" w:eastAsia="宋体" w:cs="宋体"/>
          <w:sz w:val="24"/>
          <w:szCs w:val="24"/>
        </w:rPr>
        <w:t>设备，例如</w:t>
      </w:r>
      <w:r>
        <w:rPr>
          <w:rFonts w:eastAsia="宋体" w:cs="宋体"/>
          <w:sz w:val="24"/>
          <w:szCs w:val="24"/>
        </w:rPr>
        <w:t>1132,1135</w:t>
      </w:r>
      <w:r>
        <w:rPr>
          <w:rFonts w:hint="eastAsia" w:eastAsia="宋体" w:cs="宋体"/>
          <w:sz w:val="24"/>
          <w:szCs w:val="24"/>
        </w:rPr>
        <w:t>，</w:t>
      </w:r>
      <w:r>
        <w:rPr>
          <w:rFonts w:eastAsia="宋体" w:cs="宋体"/>
          <w:sz w:val="24"/>
          <w:szCs w:val="24"/>
        </w:rPr>
        <w:t>1630</w:t>
      </w:r>
      <w:r>
        <w:rPr>
          <w:rFonts w:hint="eastAsia" w:eastAsia="宋体" w:cs="宋体"/>
          <w:sz w:val="24"/>
          <w:szCs w:val="24"/>
        </w:rPr>
        <w:t>等通讯的能力，能够支持与</w:t>
      </w:r>
      <w:r>
        <w:rPr>
          <w:rFonts w:eastAsia="宋体" w:cs="宋体"/>
          <w:sz w:val="24"/>
          <w:szCs w:val="24"/>
        </w:rPr>
        <w:t>XFlash</w:t>
      </w:r>
      <w:r>
        <w:rPr>
          <w:rFonts w:hint="eastAsia" w:eastAsia="宋体" w:cs="宋体"/>
          <w:sz w:val="24"/>
          <w:szCs w:val="24"/>
        </w:rPr>
        <w:t>软件的协同，进行</w:t>
      </w:r>
      <w:r>
        <w:rPr>
          <w:rFonts w:eastAsia="宋体" w:cs="宋体"/>
          <w:sz w:val="24"/>
          <w:szCs w:val="24"/>
        </w:rPr>
        <w:t>ESP hexfile</w:t>
      </w:r>
      <w:r>
        <w:rPr>
          <w:rFonts w:hint="eastAsia" w:eastAsia="宋体" w:cs="宋体"/>
          <w:sz w:val="24"/>
          <w:szCs w:val="24"/>
        </w:rPr>
        <w:t>软件刷写。</w:t>
      </w:r>
    </w:p>
    <w:p>
      <w:pPr>
        <w:spacing w:line="360" w:lineRule="auto"/>
        <w:rPr>
          <w:rFonts w:hint="eastAsia" w:ascii="宋体" w:hAnsi="宋体" w:eastAsia="宋体" w:cs="Times New Roman"/>
          <w:b/>
          <w:bCs/>
          <w:sz w:val="24"/>
          <w:szCs w:val="24"/>
        </w:rPr>
      </w:pPr>
      <w:r>
        <w:rPr>
          <w:rFonts w:hint="eastAsia" w:ascii="宋体" w:hAnsi="宋体" w:eastAsia="宋体" w:cs="Times New Roman"/>
          <w:b/>
          <w:bCs/>
          <w:sz w:val="24"/>
          <w:szCs w:val="24"/>
          <w:lang w:val="en-US" w:eastAsia="zh-CN"/>
        </w:rPr>
        <w:t>3.5培训</w:t>
      </w:r>
    </w:p>
    <w:p>
      <w:pPr>
        <w:spacing w:line="360" w:lineRule="auto"/>
        <w:ind w:firstLine="420" w:firstLineChars="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技术培训</w:t>
      </w:r>
    </w:p>
    <w:p>
      <w:pPr>
        <w:numPr>
          <w:ilvl w:val="0"/>
          <w:numId w:val="0"/>
        </w:numPr>
        <w:spacing w:line="360" w:lineRule="auto"/>
        <w:ind w:left="840" w:leftChars="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1）培训ESP附加功能相关技术原理和标定方法；</w:t>
      </w:r>
    </w:p>
    <w:p>
      <w:pPr>
        <w:numPr>
          <w:ilvl w:val="0"/>
          <w:numId w:val="0"/>
        </w:numPr>
        <w:spacing w:line="360" w:lineRule="auto"/>
        <w:ind w:left="840" w:leftChars="0"/>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2）培训时常不能少于7天；</w:t>
      </w:r>
    </w:p>
    <w:p>
      <w:pPr>
        <w:spacing w:line="360" w:lineRule="auto"/>
        <w:ind w:firstLine="420" w:firstLineChars="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工具培训</w:t>
      </w:r>
    </w:p>
    <w:p>
      <w:pPr>
        <w:rPr>
          <w:rFonts w:hint="eastAsia"/>
          <w:lang w:val="en-US" w:eastAsia="zh-CN"/>
        </w:rPr>
      </w:pPr>
    </w:p>
    <w:p>
      <w:pPr>
        <w:numPr>
          <w:ilvl w:val="0"/>
          <w:numId w:val="0"/>
        </w:numPr>
        <w:spacing w:line="360" w:lineRule="auto"/>
        <w:ind w:left="840" w:leftChars="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1）主要培训此次采购所有工具的使用方法和检测流程；</w:t>
      </w:r>
    </w:p>
    <w:p>
      <w:pPr>
        <w:numPr>
          <w:ilvl w:val="0"/>
          <w:numId w:val="0"/>
        </w:numPr>
        <w:spacing w:line="360" w:lineRule="auto"/>
        <w:ind w:left="840" w:leftChars="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2）培训时常不能少于10天；</w:t>
      </w:r>
    </w:p>
    <w:p>
      <w:pPr>
        <w:spacing w:line="360" w:lineRule="auto"/>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3.6定制服务</w:t>
      </w:r>
    </w:p>
    <w:p>
      <w:pPr>
        <w:numPr>
          <w:ilvl w:val="0"/>
          <w:numId w:val="14"/>
        </w:numPr>
        <w:spacing w:line="360" w:lineRule="auto"/>
        <w:ind w:left="840" w:leftChars="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根据重汽皮卡通讯协议完成XCP标定软件开发。</w:t>
      </w:r>
    </w:p>
    <w:p>
      <w:pPr>
        <w:numPr>
          <w:ilvl w:val="0"/>
          <w:numId w:val="14"/>
        </w:numPr>
        <w:spacing w:line="360" w:lineRule="auto"/>
        <w:ind w:left="840" w:leftChars="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根据重汽皮卡通讯协议完成刷写软件开发。</w:t>
      </w:r>
    </w:p>
    <w:p>
      <w:pPr>
        <w:pStyle w:val="118"/>
        <w:spacing w:before="480" w:beforeLines="200" w:line="360" w:lineRule="auto"/>
        <w:ind w:firstLine="420" w:firstLineChars="0"/>
        <w:outlineLvl w:val="2"/>
        <w:rPr>
          <w:rFonts w:eastAsia="宋体" w:cs="宋体" w:asciiTheme="minorHAnsi" w:hAnsiTheme="minorHAnsi"/>
          <w:b/>
          <w:bCs w:val="0"/>
          <w:sz w:val="32"/>
          <w:szCs w:val="32"/>
        </w:rPr>
      </w:pPr>
      <w:r>
        <w:rPr>
          <w:rFonts w:eastAsia="宋体" w:cs="宋体" w:asciiTheme="minorHAnsi" w:hAnsiTheme="minorHAnsi"/>
          <w:b/>
          <w:bCs w:val="0"/>
          <w:sz w:val="32"/>
          <w:szCs w:val="32"/>
        </w:rPr>
        <w:t xml:space="preserve"> </w:t>
      </w:r>
      <w:r>
        <w:rPr>
          <w:rFonts w:hint="eastAsia" w:eastAsia="宋体" w:cs="宋体" w:asciiTheme="minorHAnsi" w:hAnsiTheme="minorHAnsi"/>
          <w:b/>
          <w:bCs w:val="0"/>
          <w:sz w:val="32"/>
          <w:szCs w:val="32"/>
        </w:rPr>
        <w:t>四、执行标准</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367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投标人提供企业标准</w:t>
            </w:r>
          </w:p>
        </w:tc>
        <w:tc>
          <w:tcPr>
            <w:tcW w:w="2835" w:type="dxa"/>
            <w:vAlign w:val="center"/>
          </w:tcPr>
          <w:p>
            <w:pPr>
              <w:jc w:val="center"/>
              <w:rPr>
                <w:rFonts w:ascii="宋体" w:hAnsi="宋体" w:eastAsia="宋体" w:cs="宋体"/>
                <w:color w:val="000000"/>
                <w:sz w:val="24"/>
                <w:szCs w:val="24"/>
              </w:rPr>
            </w:pPr>
          </w:p>
        </w:tc>
        <w:tc>
          <w:tcPr>
            <w:tcW w:w="1665" w:type="dxa"/>
            <w:vAlign w:val="center"/>
          </w:tcPr>
          <w:p>
            <w:pPr>
              <w:jc w:val="center"/>
              <w:rPr>
                <w:rFonts w:ascii="宋体" w:hAnsi="宋体" w:eastAsia="宋体" w:cs="宋体"/>
                <w:color w:val="000000"/>
                <w:sz w:val="24"/>
                <w:szCs w:val="24"/>
              </w:rPr>
            </w:pPr>
            <w:r>
              <w:rPr>
                <w:rFonts w:hint="eastAsia" w:ascii="宋体" w:hAnsi="宋体" w:eastAsia="宋体" w:cs="宋体"/>
                <w:bCs/>
                <w:color w:val="000000"/>
                <w:sz w:val="24"/>
                <w:szCs w:val="24"/>
              </w:rPr>
              <w:t>招标人确认</w:t>
            </w: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w:t>
      </w:r>
    </w:p>
    <w:p>
      <w:pPr>
        <w:pStyle w:val="118"/>
        <w:spacing w:before="480" w:beforeLines="200" w:line="360" w:lineRule="auto"/>
        <w:ind w:firstLine="643" w:firstLineChars="200"/>
        <w:outlineLvl w:val="2"/>
        <w:rPr>
          <w:rFonts w:eastAsia="宋体" w:cs="宋体" w:asciiTheme="minorHAnsi" w:hAnsiTheme="minorHAnsi"/>
          <w:b/>
          <w:bCs w:val="0"/>
          <w:sz w:val="32"/>
          <w:szCs w:val="32"/>
        </w:rPr>
      </w:pPr>
      <w:r>
        <w:rPr>
          <w:rFonts w:hint="eastAsia" w:eastAsia="宋体" w:cs="宋体" w:asciiTheme="minorHAnsi" w:hAnsiTheme="minorHAnsi"/>
          <w:b/>
          <w:bCs w:val="0"/>
          <w:sz w:val="32"/>
          <w:szCs w:val="32"/>
        </w:rPr>
        <w:t>五、服务范围及要求</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（一）、技术指导和培训服务</w:t>
      </w:r>
    </w:p>
    <w:p>
      <w:pPr>
        <w:spacing w:line="460" w:lineRule="exact"/>
        <w:ind w:firstLine="480" w:firstLineChars="200"/>
        <w:rPr>
          <w:rFonts w:ascii="宋体" w:hAnsi="宋体" w:eastAsia="宋体" w:cs="宋体"/>
          <w:color w:val="000000"/>
          <w:kern w:val="0"/>
          <w:sz w:val="24"/>
          <w:szCs w:val="24"/>
          <w:lang w:bidi="ar"/>
        </w:rPr>
      </w:pPr>
      <w:r>
        <w:rPr>
          <w:rFonts w:hint="eastAsia" w:asciiTheme="minorEastAsia" w:hAnsiTheme="minorEastAsia" w:cstheme="minorEastAsia"/>
          <w:sz w:val="24"/>
          <w:szCs w:val="24"/>
        </w:rPr>
        <w:t>1、</w:t>
      </w:r>
      <w:r>
        <w:rPr>
          <w:rFonts w:hint="eastAsia" w:ascii="宋体" w:hAnsi="宋体" w:eastAsia="宋体" w:cs="宋体"/>
          <w:color w:val="000000"/>
          <w:kern w:val="0"/>
          <w:sz w:val="24"/>
          <w:szCs w:val="24"/>
          <w:lang w:bidi="ar"/>
        </w:rPr>
        <w:t>投标方应按要求，免费积极协助和提供招标人和招标人所委托的工程设计单位有关人员所需要的、和设备（或材料）有关的工程设计资料、技术咨询等；</w:t>
      </w:r>
    </w:p>
    <w:p>
      <w:pPr>
        <w:spacing w:line="460" w:lineRule="exact"/>
        <w:ind w:firstLine="480" w:firstLineChars="200"/>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460" w:lineRule="exact"/>
        <w:ind w:firstLine="480" w:firstLineChars="200"/>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投标方负责制定对招标人人员在运行、维修和试验等方面的培训计划，并有专人负责实施培训计划，负责指导招标人受培训人员正确理解设计和制造意图，认识设备的特点和特性，掌握在运行、维修和使用管理中应遵守的规则等方面的综合知识。</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（二）、运输服务</w:t>
      </w:r>
    </w:p>
    <w:p>
      <w:pPr>
        <w:spacing w:line="460" w:lineRule="exact"/>
        <w:ind w:firstLine="480" w:firstLineChars="200"/>
        <w:rPr>
          <w:rFonts w:asciiTheme="minorEastAsia" w:hAnsiTheme="minorEastAsia" w:cstheme="minorEastAsia"/>
          <w:sz w:val="24"/>
          <w:szCs w:val="24"/>
        </w:rPr>
      </w:pPr>
      <w:r>
        <w:rPr>
          <w:rFonts w:hint="eastAsia" w:ascii="宋体" w:hAnsi="宋体" w:eastAsia="宋体" w:cs="宋体"/>
          <w:color w:val="000000"/>
          <w:kern w:val="0"/>
          <w:sz w:val="24"/>
          <w:szCs w:val="24"/>
          <w:lang w:bidi="ar"/>
        </w:rPr>
        <w:t>投标方负责将设备按要求运至甲方需求地点</w:t>
      </w:r>
      <w:r>
        <w:rPr>
          <w:rFonts w:hint="eastAsia" w:asciiTheme="minorEastAsia" w:hAnsiTheme="minorEastAsia" w:cstheme="minorEastAsia"/>
          <w:sz w:val="24"/>
          <w:szCs w:val="24"/>
        </w:rPr>
        <w:t>。</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（三）、安装调试服务</w:t>
      </w:r>
    </w:p>
    <w:p>
      <w:pPr>
        <w:spacing w:line="460" w:lineRule="exact"/>
        <w:ind w:firstLine="480" w:firstLineChars="200"/>
        <w:rPr>
          <w:rFonts w:ascii="宋体" w:hAnsi="宋体" w:eastAsia="宋体" w:cs="宋体"/>
          <w:color w:val="000000"/>
          <w:kern w:val="0"/>
          <w:sz w:val="24"/>
          <w:szCs w:val="24"/>
          <w:lang w:bidi="ar"/>
        </w:rPr>
      </w:pPr>
      <w:r>
        <w:rPr>
          <w:rFonts w:hint="eastAsia" w:asciiTheme="minorEastAsia" w:hAnsiTheme="minorEastAsia" w:cstheme="minorEastAsia"/>
          <w:sz w:val="24"/>
          <w:szCs w:val="24"/>
        </w:rPr>
        <w:t>1、</w:t>
      </w:r>
      <w:r>
        <w:rPr>
          <w:rFonts w:hint="eastAsia" w:ascii="宋体" w:hAnsi="宋体" w:eastAsia="宋体" w:cs="宋体"/>
          <w:color w:val="000000"/>
          <w:kern w:val="0"/>
          <w:sz w:val="24"/>
          <w:szCs w:val="24"/>
          <w:lang w:bidi="ar"/>
        </w:rPr>
        <w:t>根据设备的要求，调试可分空载和负载两个阶段进行；招标人将予以积极配合，协助投标方达到设备的各项技术要求和性能。</w:t>
      </w:r>
    </w:p>
    <w:p>
      <w:pPr>
        <w:spacing w:line="460" w:lineRule="exact"/>
        <w:ind w:firstLine="480" w:firstLineChars="200"/>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460" w:lineRule="exact"/>
        <w:ind w:firstLine="480" w:firstLineChars="200"/>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3、投标方免费负责设备的安装、调试，并接受用户的技术咨询。</w:t>
      </w:r>
    </w:p>
    <w:p>
      <w:pPr>
        <w:spacing w:line="460" w:lineRule="exact"/>
        <w:ind w:firstLine="480" w:firstLineChars="200"/>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4、投标方是否提供有偿的还是免费的、指导安装调试还是负责安装调试，至少应在投标文件的服务章节中，予以明确说明。</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（四）、售后服务</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w:t>
      </w:r>
      <w:r>
        <w:rPr>
          <w:rFonts w:hint="eastAsia" w:ascii="宋体" w:hAnsi="宋体" w:eastAsia="宋体" w:cs="宋体"/>
          <w:color w:val="000000"/>
          <w:kern w:val="0"/>
          <w:sz w:val="24"/>
          <w:szCs w:val="24"/>
          <w:lang w:bidi="ar"/>
        </w:rPr>
        <w:t>在质保期之内，如发现投标方所提供的设备（或材料）存在问题，投标方须在接到通知后24小时内派有关人员到达现场，解决问题；</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w:t>
      </w:r>
      <w:r>
        <w:rPr>
          <w:rFonts w:hint="eastAsia" w:ascii="宋体" w:hAnsi="宋体" w:eastAsia="宋体" w:cs="宋体"/>
          <w:color w:val="000000"/>
          <w:kern w:val="0"/>
          <w:sz w:val="24"/>
          <w:szCs w:val="24"/>
          <w:lang w:bidi="ar"/>
        </w:rPr>
        <w:t>在质保期之后，如发现投标方所提供的设备（或材料）存在问题，需要投标方配合解决时，投标方须在接到通知后24小时内派有关人员到达现场，协助招标人解决问题；</w:t>
      </w:r>
    </w:p>
    <w:p>
      <w:pPr>
        <w:spacing w:line="460" w:lineRule="exact"/>
        <w:ind w:firstLine="480" w:firstLineChars="200"/>
        <w:rPr>
          <w:rFonts w:ascii="宋体" w:hAnsi="宋体" w:eastAsia="宋体" w:cs="宋体"/>
          <w:color w:val="000000"/>
          <w:kern w:val="0"/>
          <w:sz w:val="24"/>
          <w:szCs w:val="24"/>
          <w:lang w:bidi="ar"/>
        </w:rPr>
      </w:pPr>
      <w:r>
        <w:rPr>
          <w:rFonts w:hint="eastAsia" w:asciiTheme="minorEastAsia" w:hAnsiTheme="minorEastAsia" w:cstheme="minorEastAsia"/>
          <w:sz w:val="24"/>
          <w:szCs w:val="24"/>
        </w:rPr>
        <w:t>3、</w:t>
      </w:r>
      <w:r>
        <w:rPr>
          <w:rFonts w:hint="eastAsia" w:ascii="宋体" w:hAnsi="宋体" w:eastAsia="宋体" w:cs="宋体"/>
          <w:color w:val="000000"/>
          <w:kern w:val="0"/>
          <w:sz w:val="24"/>
          <w:szCs w:val="24"/>
          <w:lang w:bidi="ar"/>
        </w:rPr>
        <w:t>所有的售后服务均由投标方受理。如果发生问题并且收到报告，应当在2小时内予以答复；</w:t>
      </w:r>
    </w:p>
    <w:p>
      <w:pPr>
        <w:spacing w:line="460" w:lineRule="exact"/>
        <w:ind w:firstLine="480" w:firstLineChars="200"/>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4、招标人若将设备接入信息化，实现智能制造，投标方需要无条件的提供帮助与服务，包括但不限于提供设备程序，以及为实现某种自动化功能而需对设备程序进行的调整等。</w:t>
      </w:r>
    </w:p>
    <w:p>
      <w:pPr>
        <w:pStyle w:val="20"/>
        <w:rPr>
          <w:rFonts w:hint="eastAsia" w:ascii="Calibri" w:hAnsi="Calibri" w:eastAsia="宋体" w:cs="Times New Roman"/>
          <w:b/>
          <w:bCs/>
          <w:kern w:val="44"/>
          <w:sz w:val="28"/>
          <w:szCs w:val="28"/>
        </w:rPr>
      </w:pPr>
    </w:p>
    <w:p>
      <w:pPr>
        <w:pStyle w:val="20"/>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30"/>
              <w:spacing w:before="60" w:after="60"/>
              <w:jc w:val="center"/>
              <w:rPr>
                <w:rFonts w:hint="eastAsia" w:ascii="宋体" w:hAnsi="宋体" w:eastAsia="宋体"/>
                <w:szCs w:val="21"/>
                <w:lang w:val="en-US" w:eastAsia="zh-CN"/>
              </w:rPr>
            </w:pPr>
            <w:r>
              <w:rPr>
                <w:rFonts w:hint="eastAsia" w:ascii="宋体" w:hAnsi="宋体" w:eastAsia="宋体"/>
                <w:szCs w:val="21"/>
                <w:lang w:val="en-US" w:eastAsia="zh-CN"/>
              </w:rPr>
              <w:t>1</w:t>
            </w:r>
          </w:p>
        </w:tc>
        <w:tc>
          <w:tcPr>
            <w:tcW w:w="2977" w:type="dxa"/>
            <w:vAlign w:val="center"/>
          </w:tcPr>
          <w:p>
            <w:pPr>
              <w:widowControl/>
              <w:jc w:val="center"/>
              <w:textAlignment w:val="center"/>
              <w:rPr>
                <w:rFonts w:ascii="宋体" w:hAnsi="宋体" w:eastAsia="宋体" w:cstheme="minorBidi"/>
                <w:kern w:val="2"/>
                <w:sz w:val="24"/>
                <w:szCs w:val="24"/>
                <w:lang w:val="en-US" w:eastAsia="zh-CN" w:bidi="ar-SA"/>
              </w:rPr>
            </w:pPr>
            <w:r>
              <w:rPr>
                <w:rFonts w:hint="eastAsia" w:ascii="宋体" w:hAnsi="宋体" w:eastAsia="宋体"/>
                <w:sz w:val="24"/>
                <w:szCs w:val="24"/>
                <w:lang w:bidi="ar"/>
              </w:rPr>
              <w:t>ESP XCP样件及软件</w:t>
            </w:r>
          </w:p>
        </w:tc>
        <w:tc>
          <w:tcPr>
            <w:tcW w:w="992" w:type="dxa"/>
            <w:vAlign w:val="center"/>
          </w:tcPr>
          <w:p>
            <w:pPr>
              <w:spacing w:line="360" w:lineRule="auto"/>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1134" w:type="dxa"/>
            <w:vAlign w:val="center"/>
          </w:tcPr>
          <w:p>
            <w:pPr>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35" w:type="dxa"/>
            <w:vAlign w:val="center"/>
          </w:tcPr>
          <w:p>
            <w:pPr>
              <w:spacing w:line="360" w:lineRule="auto"/>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30"/>
              <w:spacing w:before="60" w:after="60"/>
              <w:jc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2977" w:type="dxa"/>
            <w:vAlign w:val="center"/>
          </w:tcPr>
          <w:p>
            <w:pPr>
              <w:widowControl/>
              <w:jc w:val="center"/>
              <w:textAlignment w:val="center"/>
              <w:rPr>
                <w:rFonts w:hint="eastAsia" w:ascii="宋体" w:hAnsi="宋体" w:eastAsia="宋体" w:cstheme="minorBidi"/>
                <w:kern w:val="2"/>
                <w:sz w:val="24"/>
                <w:szCs w:val="24"/>
                <w:lang w:val="en-US" w:eastAsia="zh-CN" w:bidi="ar"/>
              </w:rPr>
            </w:pPr>
            <w:r>
              <w:rPr>
                <w:rFonts w:hint="eastAsia" w:ascii="宋体" w:hAnsi="宋体" w:eastAsia="宋体"/>
                <w:sz w:val="24"/>
                <w:szCs w:val="24"/>
                <w:lang w:bidi="ar"/>
              </w:rPr>
              <w:t>XFlash、MM6</w:t>
            </w:r>
            <w:r>
              <w:rPr>
                <w:rFonts w:hint="eastAsia" w:ascii="宋体" w:hAnsi="宋体" w:eastAsia="宋体"/>
                <w:sz w:val="24"/>
                <w:szCs w:val="24"/>
                <w:lang w:val="en-US" w:eastAsia="zh-CN" w:bidi="ar"/>
              </w:rPr>
              <w:t>软件</w:t>
            </w:r>
          </w:p>
        </w:tc>
        <w:tc>
          <w:tcPr>
            <w:tcW w:w="992" w:type="dxa"/>
            <w:vAlign w:val="center"/>
          </w:tcPr>
          <w:p>
            <w:pPr>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1134" w:type="dxa"/>
            <w:vAlign w:val="center"/>
          </w:tcPr>
          <w:p>
            <w:pPr>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35" w:type="dxa"/>
            <w:vAlign w:val="center"/>
          </w:tcPr>
          <w:p>
            <w:pPr>
              <w:widowControl/>
              <w:jc w:val="center"/>
              <w:textAlignment w:val="center"/>
              <w:rPr>
                <w:rFonts w:hint="default" w:ascii="宋体" w:hAnsi="宋体" w:eastAsia="宋体"/>
                <w:sz w:val="24"/>
                <w:szCs w:val="24"/>
                <w:lang w:val="en-US" w:eastAsia="zh-CN"/>
              </w:rPr>
            </w:pPr>
            <w:r>
              <w:rPr>
                <w:rFonts w:hint="eastAsia" w:ascii="宋体" w:hAnsi="宋体" w:eastAsia="宋体"/>
                <w:sz w:val="24"/>
                <w:szCs w:val="24"/>
                <w:lang w:val="en-US" w:eastAsia="zh-CN"/>
              </w:rPr>
              <w:t>软件包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30"/>
              <w:spacing w:before="60" w:after="60"/>
              <w:jc w:val="center"/>
              <w:rPr>
                <w:rFonts w:hint="default" w:ascii="宋体" w:hAnsi="宋体" w:eastAsia="宋体"/>
                <w:szCs w:val="21"/>
                <w:lang w:val="en-US" w:eastAsia="zh-CN"/>
              </w:rPr>
            </w:pPr>
            <w:r>
              <w:rPr>
                <w:rFonts w:hint="eastAsia" w:ascii="宋体" w:hAnsi="宋体" w:eastAsia="宋体"/>
                <w:szCs w:val="21"/>
                <w:lang w:val="en-US" w:eastAsia="zh-CN"/>
              </w:rPr>
              <w:t>3</w:t>
            </w:r>
          </w:p>
        </w:tc>
        <w:tc>
          <w:tcPr>
            <w:tcW w:w="2977" w:type="dxa"/>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rPr>
              <w:t>培训</w:t>
            </w:r>
          </w:p>
        </w:tc>
        <w:tc>
          <w:tcPr>
            <w:tcW w:w="992" w:type="dxa"/>
            <w:vAlign w:val="center"/>
          </w:tcPr>
          <w:p>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w:t>
            </w:r>
          </w:p>
        </w:tc>
        <w:tc>
          <w:tcPr>
            <w:tcW w:w="1134" w:type="dxa"/>
            <w:vAlign w:val="center"/>
          </w:tcPr>
          <w:p>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天</w:t>
            </w:r>
          </w:p>
        </w:tc>
        <w:tc>
          <w:tcPr>
            <w:tcW w:w="2835" w:type="dxa"/>
            <w:vAlign w:val="center"/>
          </w:tcPr>
          <w:p>
            <w:pPr>
              <w:widowControl/>
              <w:jc w:val="center"/>
              <w:textAlignment w:val="center"/>
              <w:rPr>
                <w:rFonts w:hint="eastAsia" w:ascii="宋体" w:hAnsi="宋体"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30"/>
              <w:spacing w:before="60" w:after="60"/>
              <w:jc w:val="center"/>
              <w:rPr>
                <w:rFonts w:hint="default" w:ascii="宋体" w:hAnsi="宋体" w:eastAsia="宋体"/>
                <w:szCs w:val="21"/>
                <w:lang w:val="en-US" w:eastAsia="zh-CN"/>
              </w:rPr>
            </w:pPr>
            <w:r>
              <w:rPr>
                <w:rFonts w:hint="eastAsia" w:ascii="宋体" w:hAnsi="宋体" w:eastAsia="宋体"/>
                <w:szCs w:val="21"/>
                <w:lang w:val="en-US" w:eastAsia="zh-CN"/>
              </w:rPr>
              <w:t>3.1</w:t>
            </w:r>
          </w:p>
        </w:tc>
        <w:tc>
          <w:tcPr>
            <w:tcW w:w="2977" w:type="dxa"/>
            <w:vAlign w:val="center"/>
          </w:tcPr>
          <w:p>
            <w:pPr>
              <w:widowControl/>
              <w:jc w:val="center"/>
              <w:textAlignment w:val="center"/>
              <w:rPr>
                <w:rFonts w:hint="default" w:ascii="宋体" w:hAnsi="宋体" w:eastAsia="宋体"/>
                <w:sz w:val="24"/>
                <w:szCs w:val="24"/>
                <w:lang w:val="en-US" w:eastAsia="zh-CN"/>
              </w:rPr>
            </w:pPr>
            <w:r>
              <w:rPr>
                <w:rFonts w:hint="eastAsia" w:ascii="宋体" w:hAnsi="宋体" w:eastAsia="宋体"/>
                <w:sz w:val="24"/>
                <w:szCs w:val="24"/>
                <w:lang w:val="en-US" w:eastAsia="zh-CN"/>
              </w:rPr>
              <w:t>技术培训</w:t>
            </w:r>
          </w:p>
        </w:tc>
        <w:tc>
          <w:tcPr>
            <w:tcW w:w="992" w:type="dxa"/>
            <w:vAlign w:val="center"/>
          </w:tcPr>
          <w:p>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p>
        </w:tc>
        <w:tc>
          <w:tcPr>
            <w:tcW w:w="1134" w:type="dxa"/>
            <w:vAlign w:val="center"/>
          </w:tcPr>
          <w:p>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天</w:t>
            </w:r>
          </w:p>
        </w:tc>
        <w:tc>
          <w:tcPr>
            <w:tcW w:w="2835" w:type="dxa"/>
            <w:vAlign w:val="center"/>
          </w:tcPr>
          <w:p>
            <w:pPr>
              <w:widowControl/>
              <w:jc w:val="center"/>
              <w:textAlignment w:val="center"/>
              <w:rPr>
                <w:rFonts w:hint="eastAsia" w:ascii="宋体" w:hAnsi="宋体"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30"/>
              <w:spacing w:before="60" w:after="60"/>
              <w:jc w:val="center"/>
              <w:rPr>
                <w:rFonts w:hint="default" w:ascii="宋体" w:hAnsi="宋体" w:eastAsia="宋体"/>
                <w:szCs w:val="21"/>
                <w:lang w:val="en-US" w:eastAsia="zh-CN"/>
              </w:rPr>
            </w:pPr>
            <w:r>
              <w:rPr>
                <w:rFonts w:hint="eastAsia" w:ascii="宋体" w:hAnsi="宋体" w:eastAsia="宋体"/>
                <w:szCs w:val="21"/>
                <w:lang w:val="en-US" w:eastAsia="zh-CN"/>
              </w:rPr>
              <w:t>3.2</w:t>
            </w:r>
          </w:p>
        </w:tc>
        <w:tc>
          <w:tcPr>
            <w:tcW w:w="2977" w:type="dxa"/>
            <w:vAlign w:val="center"/>
          </w:tcPr>
          <w:p>
            <w:pPr>
              <w:widowControl/>
              <w:jc w:val="center"/>
              <w:textAlignment w:val="center"/>
              <w:rPr>
                <w:rFonts w:hint="default" w:ascii="宋体" w:hAnsi="宋体" w:eastAsia="宋体"/>
                <w:sz w:val="24"/>
                <w:szCs w:val="24"/>
                <w:lang w:val="en-US" w:eastAsia="zh-CN"/>
              </w:rPr>
            </w:pPr>
            <w:r>
              <w:rPr>
                <w:rFonts w:hint="eastAsia" w:ascii="宋体" w:hAnsi="宋体" w:eastAsia="宋体"/>
                <w:sz w:val="24"/>
                <w:szCs w:val="24"/>
                <w:lang w:val="en-US" w:eastAsia="zh-CN"/>
              </w:rPr>
              <w:t>工具培训</w:t>
            </w:r>
          </w:p>
        </w:tc>
        <w:tc>
          <w:tcPr>
            <w:tcW w:w="992" w:type="dxa"/>
            <w:vAlign w:val="center"/>
          </w:tcPr>
          <w:p>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1134" w:type="dxa"/>
            <w:vAlign w:val="center"/>
          </w:tcPr>
          <w:p>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天</w:t>
            </w:r>
          </w:p>
        </w:tc>
        <w:tc>
          <w:tcPr>
            <w:tcW w:w="2835" w:type="dxa"/>
            <w:vAlign w:val="center"/>
          </w:tcPr>
          <w:p>
            <w:pPr>
              <w:widowControl/>
              <w:jc w:val="center"/>
              <w:textAlignment w:val="center"/>
              <w:rPr>
                <w:rFonts w:hint="eastAsia" w:ascii="宋体" w:hAnsi="宋体"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30"/>
              <w:spacing w:before="60" w:after="60"/>
              <w:jc w:val="center"/>
              <w:rPr>
                <w:rFonts w:hint="default" w:ascii="宋体" w:hAnsi="宋体" w:eastAsia="宋体"/>
                <w:szCs w:val="21"/>
                <w:lang w:val="en-US" w:eastAsia="zh-CN"/>
              </w:rPr>
            </w:pPr>
            <w:r>
              <w:rPr>
                <w:rFonts w:hint="eastAsia" w:ascii="宋体" w:hAnsi="宋体" w:eastAsia="宋体"/>
                <w:szCs w:val="21"/>
                <w:lang w:val="en-US" w:eastAsia="zh-CN"/>
              </w:rPr>
              <w:t>4</w:t>
            </w:r>
          </w:p>
        </w:tc>
        <w:tc>
          <w:tcPr>
            <w:tcW w:w="2977" w:type="dxa"/>
            <w:vAlign w:val="center"/>
          </w:tcPr>
          <w:p>
            <w:pPr>
              <w:widowControl/>
              <w:jc w:val="center"/>
              <w:textAlignment w:val="center"/>
              <w:rPr>
                <w:rFonts w:hint="default" w:ascii="宋体" w:hAnsi="宋体" w:eastAsia="宋体"/>
                <w:sz w:val="24"/>
                <w:szCs w:val="24"/>
                <w:lang w:val="en-US" w:eastAsia="zh-CN"/>
              </w:rPr>
            </w:pPr>
            <w:r>
              <w:rPr>
                <w:rFonts w:hint="eastAsia" w:ascii="宋体" w:hAnsi="宋体" w:eastAsia="宋体"/>
                <w:sz w:val="24"/>
                <w:szCs w:val="24"/>
                <w:lang w:val="en-US" w:eastAsia="zh-CN"/>
              </w:rPr>
              <w:t>定制开发</w:t>
            </w:r>
          </w:p>
        </w:tc>
        <w:tc>
          <w:tcPr>
            <w:tcW w:w="992" w:type="dxa"/>
            <w:vAlign w:val="center"/>
          </w:tcPr>
          <w:p>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60</w:t>
            </w:r>
          </w:p>
        </w:tc>
        <w:tc>
          <w:tcPr>
            <w:tcW w:w="1134" w:type="dxa"/>
            <w:vAlign w:val="center"/>
          </w:tcPr>
          <w:p>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人天</w:t>
            </w:r>
          </w:p>
        </w:tc>
        <w:tc>
          <w:tcPr>
            <w:tcW w:w="2835" w:type="dxa"/>
            <w:vAlign w:val="center"/>
          </w:tcPr>
          <w:p>
            <w:pPr>
              <w:widowControl/>
              <w:jc w:val="center"/>
              <w:textAlignment w:val="center"/>
              <w:rPr>
                <w:rFonts w:hint="default" w:ascii="宋体" w:hAnsi="宋体" w:eastAsia="宋体"/>
                <w:sz w:val="24"/>
                <w:szCs w:val="24"/>
                <w:lang w:val="en-US" w:eastAsia="zh-CN"/>
              </w:rPr>
            </w:pPr>
            <w:r>
              <w:rPr>
                <w:rFonts w:hint="eastAsia" w:ascii="宋体" w:hAnsi="宋体" w:eastAsia="宋体"/>
                <w:sz w:val="24"/>
                <w:szCs w:val="24"/>
                <w:lang w:val="en-US" w:eastAsia="zh-CN"/>
              </w:rPr>
              <w:t>适配重汽皮卡ESP系统的定制软件及开发权限开发。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30"/>
              <w:spacing w:before="60" w:after="60"/>
              <w:rPr>
                <w:rFonts w:ascii="宋体" w:hAnsi="宋体" w:eastAsia="宋体"/>
                <w:szCs w:val="21"/>
              </w:rPr>
            </w:pPr>
          </w:p>
        </w:tc>
        <w:tc>
          <w:tcPr>
            <w:tcW w:w="2977" w:type="dxa"/>
            <w:vAlign w:val="center"/>
          </w:tcPr>
          <w:p>
            <w:pPr>
              <w:pStyle w:val="130"/>
              <w:spacing w:before="60" w:after="60"/>
              <w:rPr>
                <w:rFonts w:ascii="宋体" w:hAnsi="宋体" w:eastAsia="宋体"/>
                <w:szCs w:val="21"/>
              </w:rPr>
            </w:pPr>
          </w:p>
        </w:tc>
        <w:tc>
          <w:tcPr>
            <w:tcW w:w="992" w:type="dxa"/>
            <w:vAlign w:val="center"/>
          </w:tcPr>
          <w:p>
            <w:pPr>
              <w:spacing w:line="360" w:lineRule="auto"/>
              <w:jc w:val="center"/>
              <w:textAlignment w:val="center"/>
              <w:rPr>
                <w:rFonts w:ascii="宋体" w:hAnsi="宋体" w:eastAsia="宋体" w:cs="宋体"/>
                <w:sz w:val="24"/>
                <w:szCs w:val="24"/>
              </w:rPr>
            </w:pPr>
          </w:p>
        </w:tc>
        <w:tc>
          <w:tcPr>
            <w:tcW w:w="1134" w:type="dxa"/>
            <w:vAlign w:val="center"/>
          </w:tcPr>
          <w:p>
            <w:pPr>
              <w:spacing w:line="360" w:lineRule="auto"/>
              <w:jc w:val="center"/>
              <w:textAlignment w:val="center"/>
              <w:rPr>
                <w:rFonts w:ascii="宋体" w:hAnsi="宋体" w:eastAsia="宋体" w:cs="宋体"/>
                <w:sz w:val="24"/>
                <w:szCs w:val="24"/>
              </w:rPr>
            </w:pPr>
          </w:p>
        </w:tc>
        <w:tc>
          <w:tcPr>
            <w:tcW w:w="2835" w:type="dxa"/>
            <w:vAlign w:val="center"/>
          </w:tcPr>
          <w:p>
            <w:pPr>
              <w:spacing w:line="360" w:lineRule="auto"/>
              <w:jc w:val="center"/>
              <w:textAlignment w:val="center"/>
              <w:rPr>
                <w:rFonts w:ascii="宋体" w:hAnsi="宋体" w:eastAsia="宋体" w:cs="宋体"/>
                <w:sz w:val="24"/>
                <w:szCs w:val="24"/>
              </w:rPr>
            </w:pP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pPr>
        <w:pStyle w:val="20"/>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山东省济南市高新区华奥路777号重汽科技园</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rPr>
        <w:t>120</w:t>
      </w:r>
      <w:r>
        <w:rPr>
          <w:rFonts w:hint="eastAsia" w:ascii="宋体" w:hAnsi="宋体" w:eastAsia="宋体" w:cs="宋体"/>
          <w:sz w:val="24"/>
          <w:szCs w:val="24"/>
        </w:rPr>
        <w:t>个日历日之内交货至供货地点</w:t>
      </w:r>
      <w:r>
        <w:rPr>
          <w:rFonts w:ascii="宋体" w:hAnsi="宋体" w:eastAsia="宋体" w:cs="宋体"/>
          <w:sz w:val="24"/>
          <w:szCs w:val="24"/>
        </w:rPr>
        <w:t>。</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个日历日之内安装调试完毕。</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第四章质保期及售后服务</w:t>
      </w:r>
    </w:p>
    <w:p>
      <w:pPr>
        <w:pStyle w:val="123"/>
        <w:spacing w:line="360" w:lineRule="auto"/>
        <w:rPr>
          <w:rFonts w:hint="eastAsia"/>
        </w:rPr>
      </w:pPr>
    </w:p>
    <w:p>
      <w:pPr>
        <w:pStyle w:val="123"/>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.质保期内免费提供零部件和及时有效的服务。质保期内因货物本身缺陷造成的各种故障，卖方应负责免费维修和服务。给招标方造成的直接经济损失由投标方承担。</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pStyle w:val="123"/>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5.应按要求免费积极协助和提供招标方以及招标方所委托的工程设计单位有关人员所需要的、与货物有关的工程设计资料、技术咨询等。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6.若投标方提供货物涉及到外购外协货物、而且该货物的技术质量等较为关键时，投标方应能保证得到配套厂家的技术支持，并免费为招标方提供技术服务。</w:t>
      </w:r>
    </w:p>
    <w:p>
      <w:pPr>
        <w:pStyle w:val="123"/>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6.服务缺陷视同货物缺陷和履约延期。</w:t>
      </w:r>
    </w:p>
    <w:p>
      <w:pPr>
        <w:pStyle w:val="123"/>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2.如发现所提供的货物存在问题，需要卖方解决或配合解决时：在质保期之内，应在接到通知后 24 小时内提供免费技术支持（不限于电话、远程 、邮件、视频等方式）；在质保期之外，应在接到通知后 48 小时内提供免费技术支持（不限于电话、远程 、邮件、视频等方式）。</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3.卖方派往买方使用现场的人员，应具有较高的业务素质；现场解决问题时，不得无故拖延或推迟，应为买方提供最佳的服务。</w:t>
      </w:r>
    </w:p>
    <w:p>
      <w:pPr>
        <w:pStyle w:val="123"/>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20"/>
        <w:spacing w:line="360" w:lineRule="auto"/>
        <w:rPr>
          <w:rFonts w:hint="eastAsia" w:ascii="Calibri" w:hAnsi="Calibri" w:eastAsia="宋体" w:cs="Times New Roman"/>
          <w:b/>
          <w:bCs/>
          <w:kern w:val="44"/>
          <w:sz w:val="28"/>
          <w:szCs w:val="28"/>
        </w:rPr>
      </w:pPr>
    </w:p>
    <w:p>
      <w:pPr>
        <w:pStyle w:val="20"/>
        <w:spacing w:line="360" w:lineRule="auto"/>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pPr>
        <w:pStyle w:val="118"/>
        <w:spacing w:line="360" w:lineRule="auto"/>
        <w:ind w:firstLine="482" w:firstLineChars="200"/>
        <w:rPr>
          <w:rFonts w:eastAsia="宋体" w:cs="宋体"/>
          <w:b/>
          <w:bCs w:val="0"/>
          <w:sz w:val="24"/>
          <w:szCs w:val="24"/>
        </w:rPr>
      </w:pPr>
      <w:r>
        <w:rPr>
          <w:rFonts w:hint="eastAsia" w:eastAsia="宋体" w:cs="宋体"/>
          <w:b/>
          <w:bCs w:val="0"/>
          <w:sz w:val="24"/>
          <w:szCs w:val="24"/>
        </w:rPr>
        <w:t>一、验收依据和验收标准</w:t>
      </w:r>
    </w:p>
    <w:p>
      <w:pPr>
        <w:pStyle w:val="131"/>
        <w:numPr>
          <w:ilvl w:val="0"/>
          <w:numId w:val="15"/>
        </w:numPr>
        <w:spacing w:line="360" w:lineRule="auto"/>
        <w:ind w:firstLineChars="0"/>
        <w:rPr>
          <w:rFonts w:ascii="宋体" w:hAnsi="宋体" w:eastAsia="宋体" w:cs="宋体"/>
          <w:sz w:val="24"/>
          <w:szCs w:val="24"/>
        </w:rPr>
      </w:pPr>
      <w:r>
        <w:rPr>
          <w:rFonts w:hint="eastAsia" w:ascii="宋体" w:hAnsi="宋体" w:eastAsia="宋体" w:cs="宋体"/>
          <w:sz w:val="24"/>
          <w:szCs w:val="24"/>
        </w:rPr>
        <w:t>验收标准一般以技术协议书和合同规定验收。无论技术协议书和合同，是否全部并准确列明验收所涉及的相关标准，均作为验收标准之一。</w:t>
      </w:r>
    </w:p>
    <w:p>
      <w:pPr>
        <w:pStyle w:val="131"/>
        <w:numPr>
          <w:ilvl w:val="0"/>
          <w:numId w:val="15"/>
        </w:numPr>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如果验收过程中，发现招标文件、投标文件、答疑文件、技术交流文件等与技术协议书、合同存在差异，原则上以涉及条款中对买方最有利条款为验收依据。</w:t>
      </w:r>
    </w:p>
    <w:p>
      <w:pPr>
        <w:pStyle w:val="20"/>
        <w:numPr>
          <w:ilvl w:val="0"/>
          <w:numId w:val="15"/>
        </w:numPr>
        <w:spacing w:line="360" w:lineRule="auto"/>
        <w:rPr>
          <w:rFonts w:hAnsi="宋体" w:eastAsia="宋体"/>
          <w:sz w:val="24"/>
          <w:szCs w:val="24"/>
        </w:rPr>
      </w:pPr>
      <w:r>
        <w:rPr>
          <w:rFonts w:hint="eastAsia" w:hAnsi="宋体" w:eastAsia="宋体"/>
          <w:sz w:val="24"/>
          <w:szCs w:val="24"/>
        </w:rPr>
        <w:t>投标人</w:t>
      </w:r>
      <w:r>
        <w:rPr>
          <w:rFonts w:hAnsi="宋体" w:eastAsia="宋体"/>
          <w:sz w:val="24"/>
          <w:szCs w:val="24"/>
        </w:rPr>
        <w:t>需编写验收大纲，按照验收大纲的要求完成相关验收工作，其结果需要得到</w:t>
      </w:r>
      <w:r>
        <w:rPr>
          <w:rFonts w:hint="eastAsia" w:hAnsi="宋体" w:eastAsia="宋体"/>
          <w:sz w:val="24"/>
          <w:szCs w:val="24"/>
        </w:rPr>
        <w:t>招标人</w:t>
      </w:r>
      <w:r>
        <w:rPr>
          <w:rFonts w:hAnsi="宋体" w:eastAsia="宋体"/>
          <w:sz w:val="24"/>
          <w:szCs w:val="24"/>
        </w:rPr>
        <w:t>的认可。</w:t>
      </w:r>
    </w:p>
    <w:p>
      <w:pPr>
        <w:pStyle w:val="20"/>
        <w:numPr>
          <w:ilvl w:val="0"/>
          <w:numId w:val="15"/>
        </w:numPr>
        <w:spacing w:line="360" w:lineRule="auto"/>
        <w:rPr>
          <w:rFonts w:hAnsi="宋体" w:eastAsia="宋体"/>
          <w:sz w:val="24"/>
          <w:szCs w:val="24"/>
        </w:rPr>
      </w:pPr>
      <w:r>
        <w:rPr>
          <w:rFonts w:hAnsi="宋体" w:eastAsia="宋体"/>
          <w:sz w:val="24"/>
          <w:szCs w:val="24"/>
        </w:rPr>
        <w:t>项目验收需要卖方和</w:t>
      </w:r>
      <w:r>
        <w:rPr>
          <w:rFonts w:hint="eastAsia" w:hAnsi="宋体" w:eastAsia="宋体"/>
          <w:sz w:val="24"/>
          <w:szCs w:val="24"/>
        </w:rPr>
        <w:t>招标人</w:t>
      </w:r>
      <w:r>
        <w:rPr>
          <w:rFonts w:hAnsi="宋体" w:eastAsia="宋体"/>
          <w:sz w:val="24"/>
          <w:szCs w:val="24"/>
        </w:rPr>
        <w:t>双方联合进行。</w:t>
      </w:r>
    </w:p>
    <w:p>
      <w:pPr>
        <w:pStyle w:val="123"/>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3"/>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2.终验收一般条件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3.终验收基本要求</w:t>
      </w:r>
    </w:p>
    <w:p>
      <w:pPr>
        <w:adjustRightInd w:val="0"/>
        <w:snapToGrid w:val="0"/>
        <w:spacing w:line="360" w:lineRule="auto"/>
        <w:ind w:firstLine="480" w:firstLineChars="200"/>
        <w:rPr>
          <w:rFonts w:hint="default"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rPr>
        <w:t xml:space="preserve">3.1 </w:t>
      </w:r>
      <w:r>
        <w:rPr>
          <w:rFonts w:ascii="宋体" w:hAnsi="宋体" w:eastAsia="宋体" w:cs="宋体"/>
          <w:color w:val="auto"/>
          <w:sz w:val="24"/>
          <w:szCs w:val="24"/>
          <w:highlight w:val="none"/>
        </w:rPr>
        <w:t>设备安装调试完成后，再需要经过一个考核期的</w:t>
      </w:r>
      <w:r>
        <w:rPr>
          <w:rFonts w:hint="eastAsia" w:ascii="宋体" w:hAnsi="宋体" w:eastAsia="宋体" w:cs="宋体"/>
          <w:color w:val="auto"/>
          <w:sz w:val="24"/>
          <w:szCs w:val="24"/>
          <w:highlight w:val="none"/>
        </w:rPr>
        <w:t>运行测试使用</w:t>
      </w:r>
      <w:r>
        <w:rPr>
          <w:rFonts w:ascii="宋体" w:hAnsi="宋体" w:eastAsia="宋体" w:cs="宋体"/>
          <w:color w:val="auto"/>
          <w:sz w:val="24"/>
          <w:szCs w:val="24"/>
          <w:highlight w:val="none"/>
        </w:rPr>
        <w:t>，考核整个系统的</w:t>
      </w:r>
      <w:r>
        <w:rPr>
          <w:rFonts w:hint="eastAsia" w:ascii="宋体" w:hAnsi="宋体" w:eastAsia="宋体" w:cs="宋体"/>
          <w:color w:val="auto"/>
          <w:sz w:val="24"/>
          <w:szCs w:val="24"/>
          <w:highlight w:val="none"/>
          <w:lang w:val="en-US" w:eastAsia="zh-CN"/>
        </w:rPr>
        <w:t>硬件适配性好，软件正确易用。工具培训保证我方检测人员熟练运用标定工具。定制开发对重汽皮卡ESP附加功能标定的适配正确、兼容性好。</w:t>
      </w:r>
      <w:r>
        <w:rPr>
          <w:rFonts w:ascii="宋体" w:hAnsi="宋体" w:eastAsia="宋体" w:cs="宋体"/>
          <w:color w:val="auto"/>
          <w:sz w:val="24"/>
          <w:szCs w:val="24"/>
          <w:highlight w:val="none"/>
        </w:rPr>
        <w:t>考核期满足要求后进行最终</w:t>
      </w:r>
      <w:r>
        <w:rPr>
          <w:rFonts w:ascii="宋体" w:hAnsi="宋体" w:eastAsia="宋体" w:cs="宋体"/>
          <w:sz w:val="24"/>
          <w:szCs w:val="24"/>
          <w:highlight w:val="none"/>
        </w:rPr>
        <w:t>验收</w:t>
      </w:r>
      <w:r>
        <w:rPr>
          <w:rFonts w:hint="eastAsia" w:ascii="宋体" w:hAnsi="宋体" w:eastAsia="宋体" w:cs="宋体"/>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3.2.1 </w:t>
      </w:r>
      <w:r>
        <w:rPr>
          <w:rFonts w:hint="eastAsia" w:ascii="宋体" w:hAnsi="宋体" w:eastAsia="宋体" w:cs="宋体"/>
          <w:color w:val="000000"/>
          <w:sz w:val="24"/>
          <w:szCs w:val="24"/>
          <w:highlight w:val="none"/>
          <w:lang w:val="en-US" w:eastAsia="zh-CN"/>
        </w:rPr>
        <w:t>ESP附加功能标定工具</w:t>
      </w:r>
      <w:r>
        <w:rPr>
          <w:rFonts w:hint="eastAsia" w:ascii="宋体" w:hAnsi="宋体" w:eastAsia="宋体" w:cs="宋体"/>
          <w:color w:val="000000"/>
          <w:sz w:val="24"/>
          <w:szCs w:val="24"/>
          <w:highlight w:val="none"/>
        </w:rPr>
        <w:t>验收时，其参数无法满足招标书中的技术要求。</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3.2.2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3.2.3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3.2.4 更换的零部件货值超过总货值的</w:t>
      </w:r>
      <w:r>
        <w:rPr>
          <w:rFonts w:hint="eastAsia" w:ascii="宋体" w:hAnsi="宋体" w:eastAsia="宋体" w:cs="宋体"/>
          <w:color w:val="000000"/>
          <w:sz w:val="24"/>
          <w:szCs w:val="24"/>
          <w:highlight w:val="none"/>
          <w:u w:val="single"/>
          <w:shd w:val="pct10" w:color="auto" w:fill="FFFFFF"/>
          <w:lang w:val="en-US" w:eastAsia="zh-CN"/>
        </w:rPr>
        <w:t>5</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color w:val="000000"/>
          <w:sz w:val="24"/>
          <w:szCs w:val="24"/>
        </w:rPr>
        <w:t>3.5 终验收通过后买卖双方共同签署终验收报告，并移交、核对全部供货范围内物品。</w:t>
      </w:r>
    </w:p>
    <w:p>
      <w:pPr>
        <w:widowControl/>
        <w:jc w:val="center"/>
        <w:rPr>
          <w:rFonts w:eastAsia="宋体"/>
          <w:b/>
          <w:bCs w:val="0"/>
          <w:i w:val="0"/>
          <w:iCs w:val="0"/>
          <w:color w:val="auto"/>
          <w:sz w:val="28"/>
        </w:rPr>
      </w:pPr>
      <w:r>
        <w:rPr>
          <w:rFonts w:eastAsia="宋体"/>
          <w:b/>
          <w:bCs w:val="0"/>
          <w:i w:val="0"/>
          <w:iCs w:val="0"/>
          <w:color w:val="auto"/>
          <w:sz w:val="28"/>
        </w:rPr>
        <w:t>第六章  投标技术文件一般要求</w:t>
      </w:r>
    </w:p>
    <w:p>
      <w:pPr>
        <w:pStyle w:val="123"/>
        <w:spacing w:line="360" w:lineRule="auto"/>
        <w:rPr>
          <w:color w:val="auto"/>
        </w:rPr>
      </w:pPr>
    </w:p>
    <w:p>
      <w:pPr>
        <w:pStyle w:val="123"/>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3"/>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23"/>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bookmarkStart w:id="36" w:name="_Toc326840041"/>
    </w:p>
    <w:p>
      <w:pPr>
        <w:adjustRightInd w:val="0"/>
        <w:snapToGrid w:val="0"/>
        <w:spacing w:line="360" w:lineRule="auto"/>
        <w:ind w:firstLine="562" w:firstLineChars="200"/>
        <w:jc w:val="center"/>
        <w:rPr>
          <w:rFonts w:eastAsia="宋体"/>
          <w:b/>
          <w:bCs w:val="0"/>
          <w:color w:val="auto"/>
          <w:sz w:val="28"/>
        </w:rPr>
      </w:pPr>
      <w:r>
        <w:rPr>
          <w:rFonts w:eastAsia="宋体"/>
          <w:b/>
          <w:bCs w:val="0"/>
          <w:i w:val="0"/>
          <w:iCs w:val="0"/>
          <w:color w:val="auto"/>
          <w:sz w:val="28"/>
        </w:rPr>
        <w:t>第七章  其它要求及说明</w:t>
      </w:r>
      <w:bookmarkEnd w:id="36"/>
    </w:p>
    <w:p>
      <w:pPr>
        <w:pStyle w:val="123"/>
        <w:spacing w:before="120" w:beforeLines="50" w:after="120" w:afterLines="50" w:line="360" w:lineRule="auto"/>
        <w:ind w:left="0" w:leftChars="0" w:firstLine="0" w:firstLineChars="0"/>
        <w:rPr>
          <w:rFonts w:ascii="宋体" w:hAnsi="宋体" w:cs="宋体"/>
          <w:color w:val="auto"/>
        </w:rPr>
      </w:pPr>
      <w:r>
        <w:rPr>
          <w:rFonts w:hint="eastAsia" w:ascii="宋体" w:hAnsi="宋体" w:cs="宋体"/>
          <w:color w:val="auto"/>
          <w:lang w:bidi="ar"/>
        </w:rPr>
        <w:t>一、要求</w:t>
      </w:r>
    </w:p>
    <w:p>
      <w:pPr>
        <w:pStyle w:val="36"/>
        <w:spacing w:line="360" w:lineRule="auto"/>
        <w:ind w:firstLine="477" w:firstLineChars="199"/>
      </w:pPr>
      <w:r>
        <w:rPr>
          <w:rFonts w:hint="eastAsia" w:cs="宋体"/>
          <w:szCs w:val="24"/>
          <w:lang w:bidi="ar"/>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2、投标方应当是通过有关资格认证的法人。应当在投标文件中提供有效期内的资格认证证书，如：ISO9001、VDA6.1、QS9000等。并提供原件（中英文）</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4、应附有其它与投标单位、采购货物有关的荣誉证书或资料。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5.1  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5.2  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5.3  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5.4  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5.5  该类报告或证明材料对于投标方胜出乃至中标极为重要！</w:t>
      </w:r>
    </w:p>
    <w:p>
      <w:pPr>
        <w:spacing w:line="360" w:lineRule="auto"/>
        <w:ind w:firstLine="479" w:firstLineChars="199"/>
        <w:rPr>
          <w:rFonts w:ascii="宋体" w:hAnsi="宋体" w:eastAsia="宋体" w:cs="宋体"/>
          <w:b/>
          <w:color w:val="000000"/>
          <w:sz w:val="24"/>
          <w:szCs w:val="24"/>
        </w:rPr>
      </w:pPr>
      <w:r>
        <w:rPr>
          <w:rFonts w:hint="eastAsia" w:ascii="宋体" w:hAnsi="宋体" w:eastAsia="宋体" w:cs="宋体"/>
          <w:b/>
          <w:color w:val="000000"/>
          <w:sz w:val="24"/>
          <w:szCs w:val="24"/>
        </w:rPr>
        <w:t>6、必须附有：202</w:t>
      </w:r>
      <w:r>
        <w:rPr>
          <w:rFonts w:hint="eastAsia" w:ascii="宋体" w:hAnsi="宋体" w:eastAsia="宋体" w:cs="宋体"/>
          <w:b/>
          <w:color w:val="000000"/>
          <w:sz w:val="24"/>
          <w:szCs w:val="24"/>
          <w:lang w:val="en-US" w:eastAsia="zh-CN"/>
        </w:rPr>
        <w:t>1</w:t>
      </w:r>
      <w:r>
        <w:rPr>
          <w:rFonts w:hint="eastAsia" w:ascii="宋体" w:hAnsi="宋体" w:eastAsia="宋体" w:cs="宋体"/>
          <w:b/>
          <w:color w:val="000000"/>
          <w:sz w:val="24"/>
          <w:szCs w:val="24"/>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pStyle w:val="123"/>
        <w:spacing w:before="120" w:beforeLines="50" w:after="120" w:afterLines="50" w:line="360" w:lineRule="auto"/>
        <w:rPr>
          <w:rFonts w:ascii="宋体" w:hAnsi="宋体" w:cs="宋体"/>
          <w:color w:val="auto"/>
          <w:lang w:bidi="ar"/>
        </w:rPr>
      </w:pPr>
      <w:r>
        <w:rPr>
          <w:rFonts w:hint="eastAsia" w:ascii="宋体" w:hAnsi="宋体" w:cs="宋体"/>
          <w:color w:val="auto"/>
          <w:lang w:bidi="ar"/>
        </w:rPr>
        <w:t>二、说明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1、投标方可以根据自身的技术、经验等优势以及对招标文件和本技术标书的理解，写明对招标方所采购货物的优化方案或建议意见。投标方的这些努力，投标方表示感谢，并将有助于投标方优先胜出。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4、招标文件、投标文件、答疑文件、技术交流文件、技术协议书等，在采购过程全部为有效文件，如有差异，以对招标方最有利的条款为准。</w:t>
      </w:r>
    </w:p>
    <w:p>
      <w:pPr>
        <w:spacing w:line="360" w:lineRule="auto"/>
        <w:ind w:firstLine="480" w:firstLineChars="200"/>
      </w:pPr>
      <w:r>
        <w:rPr>
          <w:rFonts w:hint="eastAsia" w:ascii="宋体" w:hAnsi="宋体" w:eastAsia="宋体" w:cs="宋体"/>
          <w:sz w:val="24"/>
          <w:szCs w:val="24"/>
          <w:lang w:bidi="ar"/>
        </w:rPr>
        <w:t>5、为避免歧义，本技术标书涉及招投标环节的条款，均将潜在的卖方称为投标方、将买方称为招标方；定标后合同签署环节以及后续的合同执行环节条款，招标方称为买方、投标方中的中标方称为卖方。</w:t>
      </w:r>
    </w:p>
    <w:p>
      <w:pPr>
        <w:pStyle w:val="20"/>
        <w:spacing w:line="360" w:lineRule="auto"/>
        <w:rPr>
          <w:rFonts w:hint="eastAsia" w:hAnsi="宋体" w:eastAsia="宋体" w:cs="宋体"/>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20"/>
      </w:pPr>
    </w:p>
    <w:p>
      <w:pPr>
        <w:pStyle w:val="20"/>
      </w:pPr>
    </w:p>
    <w:p>
      <w:pPr>
        <w:spacing w:line="360" w:lineRule="auto"/>
        <w:jc w:val="center"/>
        <w:outlineLvl w:val="0"/>
        <w:rPr>
          <w:rFonts w:ascii="宋体" w:hAnsi="Calibri" w:eastAsia="宋体" w:cs="Times New Roman"/>
          <w:b/>
          <w:sz w:val="36"/>
          <w:szCs w:val="36"/>
        </w:rPr>
      </w:pPr>
      <w:bookmarkStart w:id="37"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7"/>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0"/>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headerReference r:id="rId11" w:type="default"/>
          <w:footerReference r:id="rId12"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bookmarkStart w:id="38"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left="0" w:leftChars="0" w:right="-189" w:rightChars="-90" w:firstLine="0" w:firstLineChars="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39" w:name="_Toc17619"/>
      <w:bookmarkStart w:id="40" w:name="_Toc11930"/>
      <w:bookmarkStart w:id="41" w:name="_Toc11823"/>
      <w:bookmarkStart w:id="42" w:name="_Toc16330018"/>
      <w:r>
        <w:rPr>
          <w:rFonts w:hint="eastAsia" w:ascii="黑体" w:hAnsi="黑体" w:eastAsia="黑体" w:cstheme="minorEastAsia"/>
          <w:b w:val="0"/>
          <w:sz w:val="28"/>
          <w:szCs w:val="28"/>
        </w:rPr>
        <w:t>1 合同设备</w:t>
      </w:r>
      <w:bookmarkEnd w:id="39"/>
      <w:bookmarkEnd w:id="40"/>
      <w:bookmarkEnd w:id="41"/>
      <w:bookmarkEnd w:id="4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3" w:name="_Toc22800"/>
      <w:bookmarkStart w:id="44" w:name="_Toc32510"/>
      <w:bookmarkStart w:id="45"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6" w:name="_Toc16330019"/>
      <w:r>
        <w:rPr>
          <w:rFonts w:hint="eastAsia" w:ascii="黑体" w:hAnsi="黑体" w:eastAsia="黑体" w:cstheme="minorEastAsia"/>
          <w:b w:val="0"/>
          <w:sz w:val="28"/>
          <w:szCs w:val="28"/>
        </w:rPr>
        <w:t>2 包装</w:t>
      </w:r>
      <w:bookmarkEnd w:id="43"/>
      <w:bookmarkEnd w:id="44"/>
      <w:bookmarkEnd w:id="45"/>
      <w:bookmarkEnd w:id="4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7" w:name="_Toc2833"/>
      <w:bookmarkStart w:id="48" w:name="_Toc27453"/>
      <w:bookmarkStart w:id="49" w:name="_Toc27144"/>
      <w:bookmarkStart w:id="50" w:name="_Toc16330020"/>
      <w:r>
        <w:rPr>
          <w:rFonts w:hint="eastAsia" w:ascii="黑体" w:hAnsi="黑体" w:eastAsia="黑体" w:cstheme="minorEastAsia"/>
          <w:b w:val="0"/>
          <w:sz w:val="28"/>
          <w:szCs w:val="28"/>
        </w:rPr>
        <w:t>3 运输标记</w:t>
      </w:r>
      <w:bookmarkEnd w:id="47"/>
      <w:bookmarkEnd w:id="48"/>
      <w:bookmarkEnd w:id="49"/>
      <w:bookmarkEnd w:id="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10630"/>
      <w:bookmarkStart w:id="52" w:name="_Toc16133"/>
      <w:bookmarkStart w:id="53" w:name="_Toc16330021"/>
      <w:bookmarkStart w:id="54" w:name="_Toc7431"/>
      <w:r>
        <w:rPr>
          <w:rFonts w:hint="eastAsia" w:ascii="黑体" w:hAnsi="黑体" w:eastAsia="黑体" w:cstheme="minorEastAsia"/>
          <w:b w:val="0"/>
          <w:sz w:val="28"/>
          <w:szCs w:val="28"/>
        </w:rPr>
        <w:t>4 检验</w:t>
      </w:r>
      <w:bookmarkEnd w:id="51"/>
      <w:bookmarkEnd w:id="52"/>
      <w:bookmarkEnd w:id="53"/>
      <w:bookmarkEnd w:id="5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6330022"/>
      <w:bookmarkStart w:id="56" w:name="_Toc24467"/>
      <w:bookmarkStart w:id="57" w:name="_Toc19850"/>
      <w:bookmarkStart w:id="58" w:name="_Toc11217"/>
      <w:r>
        <w:rPr>
          <w:rFonts w:hint="eastAsia" w:ascii="黑体" w:hAnsi="黑体" w:eastAsia="黑体" w:cstheme="minorEastAsia"/>
          <w:b w:val="0"/>
          <w:sz w:val="28"/>
          <w:szCs w:val="28"/>
        </w:rPr>
        <w:t>5 权利担保</w:t>
      </w:r>
      <w:bookmarkEnd w:id="55"/>
      <w:bookmarkEnd w:id="56"/>
      <w:bookmarkEnd w:id="57"/>
      <w:bookmarkEnd w:id="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16330023"/>
      <w:bookmarkStart w:id="60" w:name="_Toc14809"/>
      <w:bookmarkStart w:id="61" w:name="_Toc27500"/>
      <w:bookmarkStart w:id="62" w:name="_Toc11759"/>
      <w:r>
        <w:rPr>
          <w:rFonts w:hint="eastAsia" w:ascii="黑体" w:hAnsi="黑体" w:eastAsia="黑体" w:cstheme="minorEastAsia"/>
          <w:b w:val="0"/>
          <w:sz w:val="28"/>
          <w:szCs w:val="28"/>
        </w:rPr>
        <w:t>6 交货</w:t>
      </w:r>
      <w:bookmarkEnd w:id="59"/>
      <w:bookmarkEnd w:id="60"/>
      <w:bookmarkEnd w:id="61"/>
      <w:bookmarkEnd w:id="6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6330024"/>
      <w:bookmarkStart w:id="64" w:name="_Toc25510"/>
      <w:bookmarkStart w:id="65" w:name="_Toc8024"/>
      <w:bookmarkStart w:id="66" w:name="_Toc2984"/>
      <w:r>
        <w:rPr>
          <w:rFonts w:hint="eastAsia" w:ascii="黑体" w:hAnsi="黑体" w:eastAsia="黑体" w:cstheme="minorEastAsia"/>
          <w:b w:val="0"/>
          <w:sz w:val="28"/>
          <w:szCs w:val="28"/>
        </w:rPr>
        <w:t>7 安装、调试</w:t>
      </w:r>
      <w:bookmarkEnd w:id="63"/>
      <w:bookmarkEnd w:id="64"/>
      <w:bookmarkEnd w:id="65"/>
      <w:bookmarkEnd w:id="66"/>
    </w:p>
    <w:p>
      <w:pPr>
        <w:pStyle w:val="1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16330025"/>
      <w:bookmarkStart w:id="68" w:name="_Toc14098"/>
      <w:bookmarkStart w:id="69" w:name="_Toc14260"/>
      <w:bookmarkStart w:id="70" w:name="_Toc6350"/>
      <w:r>
        <w:rPr>
          <w:rFonts w:hint="eastAsia" w:ascii="黑体" w:hAnsi="黑体" w:eastAsia="黑体" w:cstheme="minorEastAsia"/>
          <w:b w:val="0"/>
          <w:sz w:val="28"/>
          <w:szCs w:val="28"/>
        </w:rPr>
        <w:t>8 价款与支付</w:t>
      </w:r>
      <w:bookmarkEnd w:id="67"/>
      <w:bookmarkEnd w:id="68"/>
      <w:bookmarkEnd w:id="69"/>
      <w:bookmarkEnd w:id="7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71" w:name="_Toc14531628"/>
      <w:bookmarkStart w:id="72"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1"/>
      <w:bookmarkEnd w:id="72"/>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24085"/>
      <w:bookmarkStart w:id="74" w:name="_Toc16330026"/>
      <w:bookmarkStart w:id="75" w:name="_Toc25708"/>
      <w:bookmarkStart w:id="76" w:name="_Toc6726"/>
      <w:r>
        <w:rPr>
          <w:rFonts w:hint="eastAsia" w:ascii="黑体" w:hAnsi="黑体" w:eastAsia="黑体" w:cstheme="minorEastAsia"/>
          <w:b w:val="0"/>
          <w:sz w:val="28"/>
          <w:szCs w:val="28"/>
        </w:rPr>
        <w:t>9 质量保证及售后服务</w:t>
      </w:r>
      <w:bookmarkEnd w:id="73"/>
      <w:bookmarkEnd w:id="74"/>
      <w:bookmarkEnd w:id="75"/>
      <w:bookmarkEnd w:id="7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15570"/>
      <w:bookmarkStart w:id="78" w:name="_Toc10359"/>
      <w:bookmarkStart w:id="79" w:name="_Toc12927"/>
      <w:bookmarkStart w:id="80" w:name="_Toc16330027"/>
      <w:r>
        <w:rPr>
          <w:rFonts w:hint="eastAsia" w:ascii="黑体" w:hAnsi="黑体" w:eastAsia="黑体" w:cstheme="minorEastAsia"/>
          <w:b w:val="0"/>
          <w:sz w:val="28"/>
          <w:szCs w:val="28"/>
        </w:rPr>
        <w:t>10法定责任</w:t>
      </w:r>
      <w:bookmarkEnd w:id="77"/>
      <w:bookmarkEnd w:id="78"/>
      <w:bookmarkEnd w:id="79"/>
      <w:bookmarkEnd w:id="8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30381"/>
      <w:bookmarkStart w:id="82" w:name="_Toc9708"/>
      <w:bookmarkStart w:id="83" w:name="_Toc27314"/>
      <w:bookmarkStart w:id="84" w:name="_Toc16330028"/>
      <w:r>
        <w:rPr>
          <w:rFonts w:hint="eastAsia" w:ascii="黑体" w:hAnsi="黑体" w:eastAsia="黑体" w:cstheme="minorEastAsia"/>
          <w:b w:val="0"/>
          <w:sz w:val="28"/>
          <w:szCs w:val="28"/>
        </w:rPr>
        <w:t>11 违约责任</w:t>
      </w:r>
      <w:bookmarkEnd w:id="81"/>
      <w:bookmarkEnd w:id="82"/>
      <w:bookmarkEnd w:id="83"/>
      <w:bookmarkEnd w:id="8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31554"/>
      <w:bookmarkStart w:id="86" w:name="_Toc9172"/>
      <w:bookmarkStart w:id="87" w:name="_Toc1827"/>
      <w:bookmarkStart w:id="88" w:name="_Toc16330029"/>
      <w:r>
        <w:rPr>
          <w:rFonts w:hint="eastAsia" w:ascii="黑体" w:hAnsi="黑体" w:eastAsia="黑体" w:cstheme="minorEastAsia"/>
          <w:b w:val="0"/>
          <w:sz w:val="28"/>
          <w:szCs w:val="28"/>
        </w:rPr>
        <w:t>12 合同的终止与解除</w:t>
      </w:r>
      <w:bookmarkEnd w:id="85"/>
      <w:bookmarkEnd w:id="86"/>
      <w:bookmarkEnd w:id="87"/>
      <w:bookmarkEnd w:id="8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16330030"/>
      <w:bookmarkStart w:id="90" w:name="_Toc8620"/>
      <w:bookmarkStart w:id="91" w:name="_Toc31945"/>
      <w:bookmarkStart w:id="92" w:name="_Toc13671"/>
      <w:r>
        <w:rPr>
          <w:rFonts w:hint="eastAsia" w:ascii="黑体" w:hAnsi="黑体" w:eastAsia="黑体" w:cstheme="minorEastAsia"/>
          <w:b w:val="0"/>
          <w:sz w:val="28"/>
          <w:szCs w:val="28"/>
        </w:rPr>
        <w:t>13 不可抗力</w:t>
      </w:r>
      <w:bookmarkEnd w:id="89"/>
      <w:bookmarkEnd w:id="90"/>
      <w:bookmarkEnd w:id="91"/>
      <w:bookmarkEnd w:id="9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637"/>
      <w:bookmarkStart w:id="94" w:name="_Toc30389"/>
      <w:bookmarkStart w:id="95" w:name="_Toc16330031"/>
      <w:bookmarkStart w:id="96" w:name="_Toc31243"/>
      <w:r>
        <w:rPr>
          <w:rFonts w:hint="eastAsia" w:ascii="黑体" w:hAnsi="黑体" w:eastAsia="黑体" w:cstheme="minorEastAsia"/>
          <w:b w:val="0"/>
          <w:sz w:val="28"/>
          <w:szCs w:val="28"/>
        </w:rPr>
        <w:t>14 通讯</w:t>
      </w:r>
      <w:bookmarkEnd w:id="93"/>
      <w:bookmarkEnd w:id="94"/>
      <w:bookmarkEnd w:id="95"/>
      <w:bookmarkEnd w:id="9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240" w:beforeLines="100"/>
        <w:jc w:val="both"/>
        <w:rPr>
          <w:rFonts w:ascii="黑体" w:hAnsi="黑体" w:eastAsia="黑体" w:cstheme="minorEastAsia"/>
          <w:b w:val="0"/>
          <w:sz w:val="28"/>
          <w:szCs w:val="28"/>
        </w:rPr>
      </w:pPr>
      <w:bookmarkStart w:id="97" w:name="_Toc16330032"/>
      <w:bookmarkStart w:id="98" w:name="_Toc11290"/>
      <w:bookmarkStart w:id="99" w:name="_Toc9915"/>
      <w:bookmarkStart w:id="100" w:name="_Toc12984"/>
      <w:r>
        <w:rPr>
          <w:rFonts w:hint="eastAsia" w:ascii="黑体" w:hAnsi="黑体" w:eastAsia="黑体" w:cstheme="minorEastAsia"/>
          <w:b w:val="0"/>
          <w:sz w:val="28"/>
          <w:szCs w:val="28"/>
        </w:rPr>
        <w:t>15 适用法律及争议解决</w:t>
      </w:r>
      <w:bookmarkEnd w:id="97"/>
      <w:bookmarkEnd w:id="98"/>
      <w:bookmarkEnd w:id="99"/>
      <w:bookmarkEnd w:id="10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18207"/>
      <w:bookmarkStart w:id="102" w:name="_Toc23765"/>
      <w:bookmarkStart w:id="103" w:name="_Toc23906"/>
      <w:bookmarkStart w:id="104" w:name="_Toc16330033"/>
      <w:r>
        <w:rPr>
          <w:rFonts w:hint="eastAsia" w:ascii="黑体" w:hAnsi="黑体" w:eastAsia="黑体" w:cstheme="minorEastAsia"/>
          <w:b w:val="0"/>
          <w:sz w:val="28"/>
          <w:szCs w:val="28"/>
        </w:rPr>
        <w:t>16 附件</w:t>
      </w:r>
      <w:bookmarkEnd w:id="101"/>
      <w:bookmarkEnd w:id="102"/>
      <w:bookmarkEnd w:id="103"/>
      <w:bookmarkEnd w:id="1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27202"/>
      <w:bookmarkStart w:id="106" w:name="_Toc31331"/>
      <w:bookmarkStart w:id="107" w:name="_Toc16330034"/>
      <w:bookmarkStart w:id="108" w:name="_Toc17656"/>
      <w:r>
        <w:rPr>
          <w:rFonts w:hint="eastAsia" w:ascii="黑体" w:hAnsi="黑体" w:eastAsia="黑体" w:cstheme="minorEastAsia"/>
          <w:b w:val="0"/>
          <w:sz w:val="28"/>
          <w:szCs w:val="28"/>
        </w:rPr>
        <w:t>17 其他规定</w:t>
      </w:r>
      <w:bookmarkEnd w:id="105"/>
      <w:bookmarkEnd w:id="106"/>
      <w:bookmarkEnd w:id="107"/>
      <w:bookmarkEnd w:id="1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09" w:name="_Toc17952"/>
      <w:bookmarkStart w:id="110" w:name="_Toc29136"/>
      <w:bookmarkStart w:id="111" w:name="_Toc16330035"/>
      <w:bookmarkStart w:id="112"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9"/>
      <w:bookmarkEnd w:id="110"/>
      <w:bookmarkEnd w:id="111"/>
      <w:bookmarkEnd w:id="11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 w:val="0"/>
          <w:bCs/>
          <w:i/>
          <w:iCs w:val="0"/>
          <w:sz w:val="28"/>
          <w:szCs w:val="28"/>
        </w:rPr>
      </w:pPr>
      <w:bookmarkStart w:id="113" w:name="_Toc24623"/>
      <w:bookmarkStart w:id="114" w:name="_Toc16330037"/>
      <w:bookmarkStart w:id="115" w:name="_Toc25120"/>
      <w:bookmarkStart w:id="116" w:name="_Toc5379"/>
      <w:bookmarkStart w:id="117" w:name="_Toc3778"/>
      <w:r>
        <w:rPr>
          <w:rFonts w:hint="eastAsia" w:ascii="黑体" w:hAnsi="黑体" w:eastAsia="黑体" w:cstheme="minorEastAsia"/>
          <w:b w:val="0"/>
          <w:sz w:val="28"/>
          <w:szCs w:val="28"/>
        </w:rPr>
        <w:t xml:space="preserve">附件二 </w:t>
      </w:r>
      <w:bookmarkEnd w:id="113"/>
      <w:bookmarkEnd w:id="114"/>
      <w:bookmarkEnd w:id="115"/>
      <w:bookmarkEnd w:id="116"/>
      <w:bookmarkEnd w:id="117"/>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18" w:name="_Toc14341849"/>
    </w:p>
    <w:p>
      <w:pPr>
        <w:ind w:right="480"/>
        <w:jc w:val="center"/>
        <w:rPr>
          <w:sz w:val="24"/>
          <w:szCs w:val="24"/>
        </w:rPr>
      </w:pPr>
      <w:r>
        <w:rPr>
          <w:rFonts w:hint="eastAsia" w:ascii="楷体_GB2312" w:hAnsi="宋体" w:eastAsia="楷体_GB2312"/>
          <w:sz w:val="24"/>
        </w:rPr>
        <w:t xml:space="preserve">                                    </w:t>
      </w:r>
    </w:p>
    <w:bookmarkEnd w:id="118"/>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ind w:left="0" w:firstLine="0"/>
        <w:rPr>
          <w:rFonts w:ascii="楷体" w:hAnsi="楷体" w:eastAsia="楷体" w:cs="楷体"/>
          <w:b/>
          <w:sz w:val="24"/>
          <w:szCs w:val="28"/>
        </w:rPr>
      </w:pPr>
    </w:p>
    <w:p>
      <w:pPr>
        <w:pStyle w:val="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2"/>
        <w:ind w:left="0" w:firstLine="0"/>
        <w:rPr>
          <w:rFonts w:ascii="楷体" w:hAnsi="楷体" w:eastAsia="楷体" w:cs="楷体"/>
          <w:b/>
          <w:sz w:val="24"/>
          <w:szCs w:val="28"/>
        </w:rPr>
      </w:pPr>
    </w:p>
    <w:p>
      <w:pPr>
        <w:pStyle w:val="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5" w:type="first"/>
          <w:headerReference r:id="rId13" w:type="default"/>
          <w:footerReference r:id="rId14"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8"/>
    </w:p>
    <w:p>
      <w:pPr>
        <w:keepNext/>
        <w:keepLines/>
        <w:outlineLvl w:val="9"/>
        <w:rPr>
          <w:rFonts w:hint="eastAsia" w:ascii="Times New Roman" w:hAnsi="Times New Roman" w:eastAsia="宋体" w:cs="Times New Roman"/>
          <w:b/>
          <w:bCs/>
          <w:color w:val="000000"/>
          <w:sz w:val="24"/>
          <w:szCs w:val="24"/>
        </w:rPr>
      </w:pPr>
    </w:p>
    <w:p>
      <w:pPr>
        <w:pStyle w:val="20"/>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0"/>
        <w:rPr>
          <w:rFonts w:hint="eastAsia" w:ascii="Times New Roman" w:hAnsi="Times New Roman" w:eastAsia="宋体" w:cs="Times New Roman"/>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9" w:name="_Toc25811"/>
      <w:bookmarkStart w:id="120" w:name="_Toc353881012"/>
      <w:bookmarkStart w:id="121" w:name="_Toc639004"/>
      <w:bookmarkStart w:id="122"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9"/>
      <w:bookmarkEnd w:id="120"/>
      <w:bookmarkEnd w:id="121"/>
      <w:bookmarkEnd w:id="12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汽车研究总院ESP附加功能标定工具项目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汽车研究总院ESP附加功能标定工具项目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lang w:eastAsia="zh-CN"/>
        </w:rPr>
        <w:t>CGZX2024090154</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汽车研究总院ESP附加功能标定工具项目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汽车研究总院ESP附加功能标定工具项目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544" w:type="dxa"/>
            <w:vAlign w:val="center"/>
          </w:tcPr>
          <w:p>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sz w:val="24"/>
                <w:szCs w:val="24"/>
                <w:lang w:bidi="ar"/>
              </w:rPr>
              <w:t>ESP XCP样件及软件</w:t>
            </w:r>
          </w:p>
        </w:tc>
        <w:tc>
          <w:tcPr>
            <w:tcW w:w="1933" w:type="dxa"/>
            <w:vAlign w:val="center"/>
          </w:tcPr>
          <w:p>
            <w:pPr>
              <w:spacing w:line="240" w:lineRule="auto"/>
              <w:jc w:val="center"/>
              <w:rPr>
                <w:rFonts w:hint="eastAsia" w:ascii="宋体" w:hAnsi="宋体" w:eastAsia="宋体" w:cs="宋体"/>
                <w:sz w:val="24"/>
                <w:szCs w:val="24"/>
                <w:highlight w:val="none"/>
                <w:lang w:val="en-US" w:eastAsia="zh-CN"/>
              </w:rPr>
            </w:pPr>
          </w:p>
        </w:tc>
        <w:tc>
          <w:tcPr>
            <w:tcW w:w="1335" w:type="dxa"/>
            <w:vAlign w:val="center"/>
          </w:tcPr>
          <w:p>
            <w:pPr>
              <w:spacing w:line="240" w:lineRule="auto"/>
              <w:jc w:val="center"/>
              <w:textAlignment w:val="center"/>
              <w:rPr>
                <w:rFonts w:hint="eastAsia" w:ascii="Arial" w:eastAsiaTheme="minorEastAsia"/>
                <w:sz w:val="24"/>
                <w:szCs w:val="24"/>
                <w:highlight w:val="none"/>
                <w:lang w:eastAsia="zh-CN"/>
              </w:rPr>
            </w:pPr>
            <w:r>
              <w:rPr>
                <w:rFonts w:hint="eastAsia" w:ascii="宋体" w:hAnsi="宋体" w:eastAsia="宋体" w:cs="宋体"/>
                <w:sz w:val="24"/>
                <w:szCs w:val="24"/>
                <w:highlight w:val="none"/>
                <w:lang w:val="en-US" w:eastAsia="zh-CN"/>
              </w:rPr>
              <w:t>1</w:t>
            </w:r>
          </w:p>
        </w:tc>
        <w:tc>
          <w:tcPr>
            <w:tcW w:w="1824" w:type="dxa"/>
            <w:vAlign w:val="center"/>
          </w:tcPr>
          <w:p>
            <w:pPr>
              <w:spacing w:line="360" w:lineRule="exact"/>
              <w:jc w:val="center"/>
              <w:rPr>
                <w:rFonts w:ascii="Arial"/>
                <w:sz w:val="24"/>
                <w:szCs w:val="24"/>
                <w:highlight w:val="none"/>
              </w:rPr>
            </w:pPr>
            <w:r>
              <w:rPr>
                <w:rFonts w:hint="eastAsia" w:ascii="宋体" w:hAnsi="宋体" w:eastAsia="宋体" w:cs="宋体"/>
                <w:sz w:val="24"/>
                <w:szCs w:val="24"/>
                <w:highlight w:val="none"/>
              </w:rPr>
              <w:t>套</w:t>
            </w: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544" w:type="dxa"/>
            <w:vAlign w:val="center"/>
          </w:tcPr>
          <w:p>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sz w:val="24"/>
                <w:szCs w:val="24"/>
                <w:lang w:bidi="ar"/>
              </w:rPr>
              <w:t>XFlash、MM6</w:t>
            </w:r>
          </w:p>
        </w:tc>
        <w:tc>
          <w:tcPr>
            <w:tcW w:w="1933" w:type="dxa"/>
            <w:vAlign w:val="center"/>
          </w:tcPr>
          <w:p>
            <w:pPr>
              <w:spacing w:line="240" w:lineRule="auto"/>
              <w:jc w:val="center"/>
              <w:rPr>
                <w:rFonts w:hint="eastAsia" w:ascii="宋体" w:hAnsi="宋体" w:eastAsia="宋体" w:cs="宋体"/>
                <w:sz w:val="24"/>
                <w:szCs w:val="24"/>
                <w:highlight w:val="none"/>
                <w:lang w:val="en-US" w:eastAsia="zh-CN"/>
              </w:rPr>
            </w:pPr>
          </w:p>
        </w:tc>
        <w:tc>
          <w:tcPr>
            <w:tcW w:w="1335" w:type="dxa"/>
            <w:vAlign w:val="center"/>
          </w:tcPr>
          <w:p>
            <w:pPr>
              <w:spacing w:line="240" w:lineRule="auto"/>
              <w:jc w:val="center"/>
              <w:textAlignment w:val="center"/>
              <w:rPr>
                <w:rFonts w:hint="eastAsia" w:ascii="Arial" w:eastAsiaTheme="minorEastAsia"/>
                <w:sz w:val="24"/>
                <w:szCs w:val="24"/>
                <w:highlight w:val="none"/>
                <w:lang w:eastAsia="zh-CN"/>
              </w:rPr>
            </w:pPr>
            <w:r>
              <w:rPr>
                <w:rFonts w:hint="eastAsia" w:ascii="宋体" w:hAnsi="宋体" w:eastAsia="宋体" w:cs="宋体"/>
                <w:sz w:val="24"/>
                <w:szCs w:val="24"/>
                <w:highlight w:val="none"/>
                <w:lang w:val="en-US" w:eastAsia="zh-CN"/>
              </w:rPr>
              <w:t>1</w:t>
            </w:r>
          </w:p>
        </w:tc>
        <w:tc>
          <w:tcPr>
            <w:tcW w:w="1824" w:type="dxa"/>
            <w:vAlign w:val="center"/>
          </w:tcPr>
          <w:p>
            <w:pPr>
              <w:spacing w:line="360" w:lineRule="exact"/>
              <w:jc w:val="center"/>
              <w:rPr>
                <w:rFonts w:ascii="Arial"/>
                <w:sz w:val="24"/>
                <w:szCs w:val="24"/>
                <w:highlight w:val="none"/>
              </w:rPr>
            </w:pPr>
            <w:r>
              <w:rPr>
                <w:rFonts w:hint="eastAsia" w:ascii="宋体" w:hAnsi="宋体" w:eastAsia="宋体" w:cs="宋体"/>
                <w:sz w:val="24"/>
                <w:szCs w:val="24"/>
                <w:highlight w:val="none"/>
              </w:rPr>
              <w:t>套</w:t>
            </w: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2544" w:type="dxa"/>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以上投标设备不足之处请往下添加序号自行补充</w:t>
            </w:r>
          </w:p>
        </w:tc>
        <w:tc>
          <w:tcPr>
            <w:tcW w:w="1933" w:type="dxa"/>
          </w:tcPr>
          <w:p>
            <w:pPr>
              <w:spacing w:line="240" w:lineRule="auto"/>
              <w:jc w:val="center"/>
              <w:rPr>
                <w:rFonts w:hint="eastAsia" w:ascii="宋体" w:hAnsi="宋体" w:eastAsia="宋体" w:cs="宋体"/>
                <w:sz w:val="24"/>
                <w:szCs w:val="24"/>
                <w:highlight w:val="none"/>
                <w:lang w:val="en-US" w:eastAsia="zh-CN"/>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5"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汽车研究总院ESP附加功能标定工具项目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汽车研究总院ESP附加功能标定工具项目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汽车研究总院ESP附加功能标定工具项目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汽车研究总院ESP附加功能标定工具项目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ind w:left="0" w:leftChars="0" w:firstLine="90" w:firstLineChars="43"/>
              <w:jc w:val="both"/>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w:t>
            </w:r>
          </w:p>
          <w:p>
            <w:pPr>
              <w:jc w:val="both"/>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ind w:left="0" w:leftChars="0" w:firstLine="511" w:firstLineChars="243"/>
              <w:jc w:val="both"/>
              <w:rPr>
                <w:rFonts w:hint="default" w:ascii="Times New Roman" w:hAnsi="Times New Roman" w:eastAsia="等线" w:cs="Times New Roman"/>
                <w:b/>
                <w:szCs w:val="20"/>
                <w:u w:val="single"/>
                <w:lang w:val="en-US" w:eastAsia="zh-CN"/>
              </w:rPr>
            </w:pPr>
            <w:r>
              <w:rPr>
                <w:rFonts w:hint="eastAsia" w:ascii="等线" w:hAnsi="等线" w:eastAsia="等线" w:cs="Times New Roman"/>
                <w:b/>
                <w:szCs w:val="20"/>
              </w:rPr>
              <w:t>税率：</w:t>
            </w:r>
            <w:r>
              <w:rPr>
                <w:rFonts w:hint="eastAsia" w:ascii="等线" w:hAnsi="等线" w:eastAsia="等线" w:cs="Times New Roman"/>
                <w:b/>
                <w:szCs w:val="20"/>
                <w:u w:val="single"/>
                <w:lang w:val="en-US" w:eastAsia="zh-CN"/>
              </w:rPr>
              <w:t xml:space="preserve">        </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45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533"/>
        <w:gridCol w:w="1496"/>
        <w:gridCol w:w="1120"/>
        <w:gridCol w:w="1120"/>
        <w:gridCol w:w="1682"/>
        <w:gridCol w:w="2136"/>
        <w:gridCol w:w="2496"/>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top"/>
          </w:tcPr>
          <w:p>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981" w:type="dxa"/>
            <w:gridSpan w:val="2"/>
            <w:vAlign w:val="top"/>
          </w:tcPr>
          <w:p>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496" w:type="dxa"/>
            <w:vAlign w:val="top"/>
          </w:tcPr>
          <w:p>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vAlign w:val="top"/>
          </w:tcPr>
          <w:p>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vAlign w:val="top"/>
          </w:tcPr>
          <w:p>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804" w:type="dxa"/>
            <w:vAlign w:val="top"/>
          </w:tcPr>
          <w:p>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981" w:type="dxa"/>
            <w:gridSpan w:val="2"/>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496"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 w:val="21"/>
                <w:szCs w:val="21"/>
              </w:rPr>
            </w:pPr>
            <w:r>
              <w:rPr>
                <w:rFonts w:ascii="宋体" w:hAnsi="宋体" w:eastAsia="宋体" w:cs="宋体"/>
                <w:sz w:val="21"/>
                <w:szCs w:val="21"/>
              </w:rPr>
              <w:t>1</w:t>
            </w:r>
          </w:p>
        </w:tc>
        <w:tc>
          <w:tcPr>
            <w:tcW w:w="2981" w:type="dxa"/>
            <w:gridSpan w:val="2"/>
            <w:vAlign w:val="center"/>
          </w:tcPr>
          <w:p>
            <w:pPr>
              <w:spacing w:line="360" w:lineRule="exact"/>
              <w:jc w:val="center"/>
              <w:rPr>
                <w:rFonts w:hint="eastAsia" w:ascii="宋体" w:hAnsi="宋体" w:eastAsia="宋体" w:cstheme="minorBidi"/>
                <w:b w:val="0"/>
                <w:bCs/>
                <w:kern w:val="2"/>
                <w:sz w:val="21"/>
                <w:szCs w:val="21"/>
                <w:lang w:val="en-US" w:eastAsia="zh-CN" w:bidi="ar-SA"/>
              </w:rPr>
            </w:pPr>
            <w:r>
              <w:rPr>
                <w:rFonts w:hint="eastAsia" w:ascii="宋体" w:hAnsi="宋体" w:eastAsia="宋体"/>
                <w:sz w:val="24"/>
                <w:szCs w:val="24"/>
                <w:lang w:bidi="ar"/>
              </w:rPr>
              <w:t>ESP XCP样件及软件</w:t>
            </w:r>
          </w:p>
        </w:tc>
        <w:tc>
          <w:tcPr>
            <w:tcW w:w="1496" w:type="dxa"/>
            <w:vAlign w:val="center"/>
          </w:tcPr>
          <w:p>
            <w:pPr>
              <w:spacing w:line="240" w:lineRule="auto"/>
              <w:jc w:val="center"/>
              <w:rPr>
                <w:rFonts w:ascii="Arial"/>
                <w:sz w:val="21"/>
                <w:szCs w:val="21"/>
              </w:rPr>
            </w:pPr>
          </w:p>
        </w:tc>
        <w:tc>
          <w:tcPr>
            <w:tcW w:w="1120" w:type="dxa"/>
            <w:vAlign w:val="center"/>
          </w:tcPr>
          <w:p>
            <w:pPr>
              <w:spacing w:line="240" w:lineRule="auto"/>
              <w:jc w:val="center"/>
              <w:textAlignment w:val="center"/>
              <w:rPr>
                <w:rFonts w:ascii="宋体" w:hAnsi="宋体" w:eastAsia="宋体" w:cs="宋体"/>
                <w:kern w:val="2"/>
                <w:sz w:val="21"/>
                <w:szCs w:val="21"/>
                <w:highlight w:val="yellow"/>
                <w:lang w:val="en-US" w:eastAsia="zh-CN" w:bidi="ar-SA"/>
              </w:rPr>
            </w:pPr>
            <w:r>
              <w:rPr>
                <w:rFonts w:hint="eastAsia" w:ascii="宋体" w:hAnsi="宋体" w:eastAsia="宋体" w:cs="宋体"/>
                <w:sz w:val="24"/>
                <w:szCs w:val="24"/>
                <w:highlight w:val="none"/>
                <w:lang w:val="en-US" w:eastAsia="zh-CN"/>
              </w:rPr>
              <w:t>1</w:t>
            </w:r>
          </w:p>
        </w:tc>
        <w:tc>
          <w:tcPr>
            <w:tcW w:w="1120" w:type="dxa"/>
            <w:vAlign w:val="center"/>
          </w:tcPr>
          <w:p>
            <w:pPr>
              <w:spacing w:line="360" w:lineRule="exact"/>
              <w:jc w:val="center"/>
              <w:rPr>
                <w:rFonts w:ascii="宋体" w:hAnsi="宋体" w:eastAsia="宋体" w:cs="宋体"/>
                <w:kern w:val="2"/>
                <w:sz w:val="21"/>
                <w:szCs w:val="21"/>
                <w:highlight w:val="yellow"/>
                <w:lang w:val="en-US" w:eastAsia="zh-CN" w:bidi="ar-SA"/>
              </w:rPr>
            </w:pPr>
            <w:r>
              <w:rPr>
                <w:rFonts w:hint="eastAsia" w:ascii="宋体" w:hAnsi="宋体" w:eastAsia="宋体" w:cs="宋体"/>
                <w:sz w:val="24"/>
                <w:szCs w:val="24"/>
                <w:highlight w:val="none"/>
              </w:rPr>
              <w:t>套</w:t>
            </w:r>
          </w:p>
        </w:tc>
        <w:tc>
          <w:tcPr>
            <w:tcW w:w="1682" w:type="dxa"/>
            <w:vAlign w:val="center"/>
          </w:tcPr>
          <w:p>
            <w:pPr>
              <w:spacing w:line="240" w:lineRule="auto"/>
              <w:jc w:val="center"/>
              <w:rPr>
                <w:rFonts w:ascii="Arial"/>
              </w:rPr>
            </w:pPr>
          </w:p>
        </w:tc>
        <w:tc>
          <w:tcPr>
            <w:tcW w:w="2136" w:type="dxa"/>
            <w:tcBorders>
              <w:right w:val="single" w:color="000000" w:sz="4" w:space="0"/>
            </w:tcBorders>
            <w:vAlign w:val="center"/>
          </w:tcPr>
          <w:p>
            <w:pPr>
              <w:spacing w:line="360" w:lineRule="exact"/>
              <w:jc w:val="center"/>
              <w:rPr>
                <w:rFonts w:ascii="Arial"/>
              </w:rPr>
            </w:pPr>
            <w:r>
              <w:rPr>
                <w:rFonts w:hint="eastAsia" w:ascii="宋体" w:hAnsi="宋体" w:eastAsia="宋体"/>
                <w:sz w:val="24"/>
                <w:szCs w:val="24"/>
                <w:lang w:bidi="ar"/>
              </w:rPr>
              <w:t>ESP XCP样件及软件</w:t>
            </w: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111" w:line="185" w:lineRule="auto"/>
              <w:ind w:left="291"/>
              <w:rPr>
                <w:rFonts w:ascii="宋体" w:hAnsi="宋体" w:eastAsia="宋体" w:cs="宋体"/>
                <w:sz w:val="21"/>
                <w:szCs w:val="21"/>
              </w:rPr>
            </w:pPr>
            <w:r>
              <w:rPr>
                <w:rFonts w:ascii="宋体" w:hAnsi="宋体" w:eastAsia="宋体" w:cs="宋体"/>
                <w:sz w:val="21"/>
                <w:szCs w:val="21"/>
              </w:rPr>
              <w:t>2</w:t>
            </w:r>
          </w:p>
        </w:tc>
        <w:tc>
          <w:tcPr>
            <w:tcW w:w="2981" w:type="dxa"/>
            <w:gridSpan w:val="2"/>
            <w:vAlign w:val="center"/>
          </w:tcPr>
          <w:p>
            <w:pPr>
              <w:spacing w:line="360" w:lineRule="exact"/>
              <w:jc w:val="center"/>
              <w:rPr>
                <w:rFonts w:hint="eastAsia" w:ascii="宋体" w:hAnsi="宋体" w:eastAsia="宋体" w:cstheme="minorBidi"/>
                <w:b w:val="0"/>
                <w:bCs/>
                <w:kern w:val="2"/>
                <w:sz w:val="21"/>
                <w:szCs w:val="21"/>
                <w:lang w:val="en-US" w:eastAsia="zh-CN" w:bidi="ar-SA"/>
              </w:rPr>
            </w:pPr>
            <w:r>
              <w:rPr>
                <w:rFonts w:hint="eastAsia" w:ascii="宋体" w:hAnsi="宋体" w:eastAsia="宋体"/>
                <w:sz w:val="24"/>
                <w:szCs w:val="24"/>
                <w:lang w:bidi="ar"/>
              </w:rPr>
              <w:t>XFlash、MM6</w:t>
            </w:r>
          </w:p>
        </w:tc>
        <w:tc>
          <w:tcPr>
            <w:tcW w:w="1496" w:type="dxa"/>
            <w:vAlign w:val="center"/>
          </w:tcPr>
          <w:p>
            <w:pPr>
              <w:spacing w:line="240" w:lineRule="auto"/>
              <w:jc w:val="center"/>
              <w:rPr>
                <w:rFonts w:ascii="Arial"/>
                <w:sz w:val="21"/>
                <w:szCs w:val="21"/>
              </w:rPr>
            </w:pPr>
          </w:p>
        </w:tc>
        <w:tc>
          <w:tcPr>
            <w:tcW w:w="1120" w:type="dxa"/>
            <w:vAlign w:val="center"/>
          </w:tcPr>
          <w:p>
            <w:pPr>
              <w:spacing w:line="240" w:lineRule="auto"/>
              <w:jc w:val="center"/>
              <w:textAlignment w:val="center"/>
              <w:rPr>
                <w:rFonts w:ascii="宋体" w:hAnsi="宋体" w:eastAsia="宋体" w:cs="宋体"/>
                <w:kern w:val="2"/>
                <w:sz w:val="21"/>
                <w:szCs w:val="21"/>
                <w:highlight w:val="yellow"/>
                <w:lang w:val="en-US" w:eastAsia="zh-CN" w:bidi="ar-SA"/>
              </w:rPr>
            </w:pPr>
            <w:r>
              <w:rPr>
                <w:rFonts w:hint="eastAsia" w:ascii="宋体" w:hAnsi="宋体" w:eastAsia="宋体" w:cs="宋体"/>
                <w:sz w:val="24"/>
                <w:szCs w:val="24"/>
                <w:highlight w:val="none"/>
                <w:lang w:val="en-US" w:eastAsia="zh-CN"/>
              </w:rPr>
              <w:t>1</w:t>
            </w:r>
          </w:p>
        </w:tc>
        <w:tc>
          <w:tcPr>
            <w:tcW w:w="1120" w:type="dxa"/>
            <w:vAlign w:val="center"/>
          </w:tcPr>
          <w:p>
            <w:pPr>
              <w:spacing w:line="360" w:lineRule="exact"/>
              <w:jc w:val="center"/>
              <w:rPr>
                <w:rFonts w:ascii="宋体" w:hAnsi="宋体" w:eastAsia="宋体" w:cs="宋体"/>
                <w:kern w:val="2"/>
                <w:sz w:val="21"/>
                <w:szCs w:val="21"/>
                <w:highlight w:val="yellow"/>
                <w:lang w:val="en-US" w:eastAsia="zh-CN" w:bidi="ar-SA"/>
              </w:rPr>
            </w:pPr>
            <w:r>
              <w:rPr>
                <w:rFonts w:hint="eastAsia" w:ascii="宋体" w:hAnsi="宋体" w:eastAsia="宋体" w:cs="宋体"/>
                <w:sz w:val="24"/>
                <w:szCs w:val="24"/>
                <w:highlight w:val="none"/>
              </w:rPr>
              <w:t>套</w:t>
            </w:r>
          </w:p>
        </w:tc>
        <w:tc>
          <w:tcPr>
            <w:tcW w:w="1682" w:type="dxa"/>
            <w:vAlign w:val="center"/>
          </w:tcPr>
          <w:p>
            <w:pPr>
              <w:spacing w:line="240" w:lineRule="auto"/>
              <w:jc w:val="center"/>
              <w:rPr>
                <w:rFonts w:ascii="Arial"/>
              </w:rPr>
            </w:pPr>
          </w:p>
        </w:tc>
        <w:tc>
          <w:tcPr>
            <w:tcW w:w="2136" w:type="dxa"/>
            <w:tcBorders>
              <w:right w:val="single" w:color="000000" w:sz="4" w:space="0"/>
            </w:tcBorders>
            <w:vAlign w:val="center"/>
          </w:tcPr>
          <w:p>
            <w:pPr>
              <w:spacing w:line="360" w:lineRule="exact"/>
              <w:jc w:val="center"/>
              <w:rPr>
                <w:rFonts w:ascii="Arial"/>
              </w:rPr>
            </w:pPr>
            <w:r>
              <w:rPr>
                <w:rFonts w:hint="eastAsia" w:ascii="宋体" w:hAnsi="宋体" w:eastAsia="宋体"/>
                <w:sz w:val="24"/>
                <w:szCs w:val="24"/>
                <w:lang w:bidi="ar"/>
              </w:rPr>
              <w:t>XFlash、MM6</w:t>
            </w: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981" w:type="dxa"/>
            <w:gridSpan w:val="2"/>
          </w:tcPr>
          <w:p>
            <w:pPr>
              <w:rPr>
                <w:rFonts w:ascii="Arial"/>
              </w:rPr>
            </w:pPr>
            <w:r>
              <w:rPr>
                <w:rFonts w:hint="eastAsia" w:ascii="宋体" w:hAnsi="宋体" w:eastAsia="宋体" w:cs="宋体"/>
              </w:rPr>
              <w:t>以上投标设备不足之处请往下添加序号自行补充</w:t>
            </w:r>
          </w:p>
        </w:tc>
        <w:tc>
          <w:tcPr>
            <w:tcW w:w="1496" w:type="dxa"/>
          </w:tcPr>
          <w:p>
            <w:pPr>
              <w:rPr>
                <w:rFonts w:ascii="Arial"/>
              </w:rPr>
            </w:pPr>
          </w:p>
        </w:tc>
        <w:tc>
          <w:tcPr>
            <w:tcW w:w="1120" w:type="dxa"/>
          </w:tcPr>
          <w:p>
            <w:pPr>
              <w:rPr>
                <w:rFonts w:ascii="Arial"/>
              </w:rPr>
            </w:pPr>
          </w:p>
        </w:tc>
        <w:tc>
          <w:tcPr>
            <w:tcW w:w="1120" w:type="dxa"/>
          </w:tcPr>
          <w:p>
            <w:pPr>
              <w:rPr>
                <w:rFonts w:ascii="Arial"/>
              </w:rPr>
            </w:pPr>
          </w:p>
        </w:tc>
        <w:tc>
          <w:tcPr>
            <w:tcW w:w="1682" w:type="dxa"/>
          </w:tcPr>
          <w:p>
            <w:pPr>
              <w:rPr>
                <w:rFonts w:ascii="Arial"/>
              </w:rPr>
            </w:pPr>
          </w:p>
        </w:tc>
        <w:tc>
          <w:tcPr>
            <w:tcW w:w="2136" w:type="dxa"/>
            <w:tcBorders>
              <w:right w:val="single" w:color="000000" w:sz="4" w:space="0"/>
            </w:tcBorders>
          </w:tcPr>
          <w:p>
            <w:pP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120" w:type="dxa"/>
            <w:gridSpan w:val="2"/>
            <w:tcBorders>
              <w:right w:val="single" w:color="000000" w:sz="4" w:space="0"/>
            </w:tcBorders>
          </w:tcPr>
          <w:p>
            <w:pPr>
              <w:jc w:val="center"/>
              <w:rPr>
                <w:rFonts w:ascii="宋体" w:hAnsi="宋体" w:eastAsia="宋体" w:cs="宋体"/>
                <w:spacing w:val="-6"/>
                <w:szCs w:val="21"/>
              </w:rPr>
            </w:pPr>
          </w:p>
        </w:tc>
        <w:tc>
          <w:tcPr>
            <w:tcW w:w="10087"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pPr>
              <w:rPr>
                <w:rFonts w:ascii="Arial"/>
              </w:rPr>
            </w:pPr>
          </w:p>
        </w:tc>
        <w:tc>
          <w:tcPr>
            <w:tcW w:w="804"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8"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9"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0"/>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汽车研究总院ESP附加功能标定工具项目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汽车研究总院ESP附加功能标定工具项目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汽车研究总院ESP附加功能标定工具项目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汽车研究总院ESP附加功能标定工具项目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宋体" w:hAnsi="宋体" w:eastAsia="宋体" w:cs="宋体"/>
          <w:color w:val="000000"/>
          <w:sz w:val="24"/>
          <w:szCs w:val="24"/>
          <w:lang w:eastAsia="zh-CN"/>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41"/>
        <w:tblpPr w:leftFromText="180" w:rightFromText="180" w:vertAnchor="text" w:horzAnchor="page" w:tblpX="1135" w:tblpY="197"/>
        <w:tblOverlap w:val="never"/>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9"/>
        <w:gridCol w:w="542"/>
        <w:gridCol w:w="1165"/>
        <w:gridCol w:w="758"/>
        <w:gridCol w:w="5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46"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评价类型</w:t>
            </w:r>
          </w:p>
        </w:tc>
        <w:tc>
          <w:tcPr>
            <w:tcW w:w="384"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评审</w:t>
            </w:r>
          </w:p>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内容</w:t>
            </w:r>
          </w:p>
        </w:tc>
        <w:tc>
          <w:tcPr>
            <w:tcW w:w="294"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序号</w:t>
            </w:r>
          </w:p>
        </w:tc>
        <w:tc>
          <w:tcPr>
            <w:tcW w:w="631"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   容</w:t>
            </w:r>
          </w:p>
        </w:tc>
        <w:tc>
          <w:tcPr>
            <w:tcW w:w="411"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标准分</w:t>
            </w:r>
          </w:p>
        </w:tc>
        <w:tc>
          <w:tcPr>
            <w:tcW w:w="2931"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restar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技术</w:t>
            </w:r>
          </w:p>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100分</w:t>
            </w:r>
          </w:p>
        </w:tc>
        <w:tc>
          <w:tcPr>
            <w:tcW w:w="384" w:type="pct"/>
            <w:vMerge w:val="restar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产品技术</w:t>
            </w:r>
          </w:p>
        </w:tc>
        <w:tc>
          <w:tcPr>
            <w:tcW w:w="294" w:type="pct"/>
            <w:vAlign w:val="center"/>
          </w:tcPr>
          <w:p>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技术参数</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40</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投标文件中技术参数符合招标文件的要求赋20分，再详细考察其功能与项目需求的吻合性,有一处负偏离，扣4分，以此类推；有正偏离，且对项目存在实际改进作用，则加2分，最高可以加到4分</w:t>
            </w:r>
            <w:r>
              <w:rPr>
                <w:rFonts w:hint="eastAsia" w:ascii="宋体" w:hAnsi="宋体" w:eastAsia="宋体" w:cs="宋体"/>
                <w:bCs/>
                <w:sz w:val="18"/>
                <w:szCs w:val="18"/>
                <w:lang w:eastAsia="zh-CN"/>
              </w:rPr>
              <w:t>。本项</w:t>
            </w:r>
            <w:r>
              <w:rPr>
                <w:rFonts w:hint="eastAsia" w:ascii="宋体" w:hAnsi="宋体" w:eastAsia="宋体" w:cs="宋体"/>
                <w:bCs/>
                <w:sz w:val="18"/>
                <w:szCs w:val="18"/>
              </w:rPr>
              <w:t>得分上限</w:t>
            </w:r>
            <w:r>
              <w:rPr>
                <w:rFonts w:hint="eastAsia" w:ascii="宋体" w:hAnsi="宋体" w:eastAsia="宋体" w:cs="宋体"/>
                <w:bCs/>
                <w:sz w:val="18"/>
                <w:szCs w:val="18"/>
                <w:lang w:val="en-US" w:eastAsia="zh-CN"/>
              </w:rPr>
              <w:t>40</w:t>
            </w:r>
            <w:r>
              <w:rPr>
                <w:rFonts w:hint="eastAsia" w:ascii="宋体" w:hAnsi="宋体" w:eastAsia="宋体" w:cs="宋体"/>
                <w:bCs/>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2</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核心产品</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对</w:t>
            </w:r>
            <w:r>
              <w:rPr>
                <w:rFonts w:hint="eastAsia" w:ascii="宋体" w:hAnsi="宋体" w:eastAsia="宋体" w:cs="宋体"/>
                <w:bCs/>
                <w:sz w:val="18"/>
                <w:szCs w:val="18"/>
                <w:highlight w:val="none"/>
              </w:rPr>
              <w:t>核心产品（</w:t>
            </w:r>
            <w:r>
              <w:rPr>
                <w:rFonts w:hint="eastAsia" w:ascii="宋体" w:hAnsi="宋体" w:eastAsia="宋体" w:cs="宋体"/>
                <w:bCs/>
                <w:sz w:val="18"/>
                <w:szCs w:val="18"/>
                <w:highlight w:val="none"/>
                <w:lang w:val="en-US" w:eastAsia="zh-CN"/>
              </w:rPr>
              <w:t>ESP XCP ECU、标定刷写软件</w:t>
            </w:r>
            <w:r>
              <w:rPr>
                <w:rFonts w:hint="eastAsia" w:ascii="宋体" w:hAnsi="宋体" w:eastAsia="宋体" w:cs="宋体"/>
                <w:bCs/>
                <w:sz w:val="18"/>
                <w:szCs w:val="18"/>
                <w:highlight w:val="none"/>
              </w:rPr>
              <w:t>）在项目中所起的作用和描述，</w:t>
            </w:r>
            <w:r>
              <w:rPr>
                <w:rFonts w:hint="eastAsia" w:ascii="宋体" w:hAnsi="宋体" w:eastAsia="宋体" w:cs="宋体"/>
                <w:bCs/>
                <w:sz w:val="18"/>
                <w:szCs w:val="18"/>
                <w:highlight w:val="none"/>
                <w:lang w:val="en-US" w:eastAsia="zh-CN"/>
              </w:rPr>
              <w:t>符合招标文件赋6分，详细考察功能与项目需求吻合性，</w:t>
            </w:r>
            <w:r>
              <w:rPr>
                <w:rFonts w:hint="eastAsia" w:ascii="宋体" w:hAnsi="宋体" w:eastAsia="宋体" w:cs="宋体"/>
                <w:bCs/>
                <w:sz w:val="18"/>
                <w:szCs w:val="18"/>
                <w:highlight w:val="none"/>
              </w:rPr>
              <w:t>有一处负偏离，扣</w:t>
            </w:r>
            <w:r>
              <w:rPr>
                <w:rFonts w:hint="eastAsia" w:ascii="宋体" w:hAnsi="宋体" w:eastAsia="宋体" w:cs="宋体"/>
                <w:bCs/>
                <w:sz w:val="18"/>
                <w:szCs w:val="18"/>
                <w:highlight w:val="none"/>
                <w:lang w:val="en-US" w:eastAsia="zh-CN"/>
              </w:rPr>
              <w:t>2</w:t>
            </w:r>
            <w:r>
              <w:rPr>
                <w:rFonts w:hint="eastAsia" w:ascii="宋体" w:hAnsi="宋体" w:eastAsia="宋体" w:cs="宋体"/>
                <w:bCs/>
                <w:sz w:val="18"/>
                <w:szCs w:val="18"/>
                <w:highlight w:val="none"/>
              </w:rPr>
              <w:t>分</w:t>
            </w:r>
            <w:r>
              <w:rPr>
                <w:rFonts w:hint="eastAsia" w:ascii="宋体" w:hAnsi="宋体" w:eastAsia="宋体" w:cs="宋体"/>
                <w:bCs/>
                <w:sz w:val="18"/>
                <w:szCs w:val="18"/>
                <w:highlight w:val="none"/>
                <w:lang w:eastAsia="zh-CN"/>
              </w:rPr>
              <w:t>，</w:t>
            </w:r>
            <w:r>
              <w:rPr>
                <w:rFonts w:hint="eastAsia" w:ascii="宋体" w:hAnsi="宋体" w:eastAsia="宋体" w:cs="宋体"/>
                <w:bCs/>
                <w:sz w:val="18"/>
                <w:szCs w:val="18"/>
                <w:highlight w:val="none"/>
              </w:rPr>
              <w:t>以此类推；有正偏离，且对项目存在实际改进作用，则加2分，最高可以加到4分</w:t>
            </w:r>
            <w:r>
              <w:rPr>
                <w:rFonts w:hint="eastAsia" w:ascii="宋体" w:hAnsi="宋体" w:eastAsia="宋体" w:cs="宋体"/>
                <w:bCs/>
                <w:sz w:val="18"/>
                <w:szCs w:val="18"/>
                <w:highlight w:val="none"/>
                <w:lang w:eastAsia="zh-CN"/>
              </w:rPr>
              <w:t>。本项</w:t>
            </w:r>
            <w:r>
              <w:rPr>
                <w:rFonts w:hint="eastAsia" w:ascii="宋体" w:hAnsi="宋体" w:eastAsia="宋体" w:cs="宋体"/>
                <w:bCs/>
                <w:sz w:val="18"/>
                <w:szCs w:val="18"/>
                <w:highlight w:val="none"/>
              </w:rPr>
              <w:t>得分上限</w:t>
            </w:r>
            <w:r>
              <w:rPr>
                <w:rFonts w:hint="eastAsia" w:ascii="宋体" w:hAnsi="宋体" w:eastAsia="宋体" w:cs="宋体"/>
                <w:bCs/>
                <w:sz w:val="18"/>
                <w:szCs w:val="18"/>
                <w:highlight w:val="none"/>
                <w:lang w:val="en-US" w:eastAsia="zh-CN"/>
              </w:rPr>
              <w:t>10</w:t>
            </w:r>
            <w:r>
              <w:rPr>
                <w:rFonts w:hint="eastAsia" w:ascii="宋体" w:hAnsi="宋体" w:eastAsia="宋体" w:cs="宋体"/>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3</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关键部件技术支持资料</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关键部件技术支持资料完整（含不限于部件名称、数量、厂家等信息），以产品厂家网页内容或者实际宣传彩页为准。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9"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答疑</w:t>
            </w: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4</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现场答疑</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是否在招标前至项目实际所在地勘察；（2分）</w:t>
            </w:r>
          </w:p>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是否了解客户现有的设备配置。（2分）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技术偏离</w:t>
            </w: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5</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技术偏离</w:t>
            </w:r>
          </w:p>
        </w:tc>
        <w:tc>
          <w:tcPr>
            <w:tcW w:w="411"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12</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restar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售后服务</w:t>
            </w: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技术培训方案</w:t>
            </w:r>
          </w:p>
        </w:tc>
        <w:tc>
          <w:tcPr>
            <w:tcW w:w="411"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对采购方人员的技术培训方案安排科学、合理、可行。</w:t>
            </w:r>
          </w:p>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7</w:t>
            </w:r>
          </w:p>
        </w:tc>
        <w:tc>
          <w:tcPr>
            <w:tcW w:w="631" w:type="pct"/>
            <w:shd w:val="clear" w:color="auto" w:fill="auto"/>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专业技术力量</w:t>
            </w:r>
          </w:p>
        </w:tc>
        <w:tc>
          <w:tcPr>
            <w:tcW w:w="411" w:type="pct"/>
            <w:shd w:val="clear" w:color="auto" w:fill="auto"/>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bCs/>
                <w:sz w:val="18"/>
                <w:szCs w:val="18"/>
              </w:rPr>
              <w:t>6</w:t>
            </w:r>
          </w:p>
        </w:tc>
        <w:tc>
          <w:tcPr>
            <w:tcW w:w="2931" w:type="pct"/>
            <w:shd w:val="clear" w:color="auto" w:fill="auto"/>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投标人在中国有常驻的专业技术力量的维保机构并具有实施本项目维保的专业技术人员。</w:t>
            </w:r>
          </w:p>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8</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w:t>
            </w:r>
          </w:p>
        </w:tc>
        <w:tc>
          <w:tcPr>
            <w:tcW w:w="411"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pPr>
        <w:pStyle w:val="2"/>
        <w:rPr>
          <w:rFonts w:hint="eastAsia" w:ascii="宋体" w:hAnsi="宋体" w:eastAsia="宋体" w:cs="宋体"/>
          <w:color w:val="000000"/>
          <w:sz w:val="24"/>
          <w:szCs w:val="24"/>
          <w:lang w:val="en-US" w:eastAsia="zh-CN"/>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hint="eastAsia" w:eastAsia="宋体"/>
          <w:lang w:eastAsia="zh-CN"/>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lang w:eastAsia="zh-CN"/>
        </w:rPr>
        <w:t>定。</w:t>
      </w:r>
    </w:p>
    <w:p>
      <w:pPr>
        <w:pStyle w:val="2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20"/>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3"/>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4"/>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5"/>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6"/>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20"/>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7"/>
                    <a:stretch>
                      <a:fillRect/>
                    </a:stretch>
                  </pic:blipFill>
                  <pic:spPr>
                    <a:xfrm>
                      <a:off x="0" y="0"/>
                      <a:ext cx="5760085" cy="2810122"/>
                    </a:xfrm>
                    <a:prstGeom prst="rect">
                      <a:avLst/>
                    </a:prstGeom>
                  </pic:spPr>
                </pic:pic>
              </a:graphicData>
            </a:graphic>
          </wp:inline>
        </w:drawing>
      </w:r>
    </w:p>
    <w:p>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8"/>
                    <a:stretch>
                      <a:fillRect/>
                    </a:stretch>
                  </pic:blipFill>
                  <pic:spPr>
                    <a:xfrm>
                      <a:off x="0" y="0"/>
                      <a:ext cx="5760085" cy="2820042"/>
                    </a:xfrm>
                    <a:prstGeom prst="rect">
                      <a:avLst/>
                    </a:prstGeom>
                  </pic:spPr>
                </pic:pic>
              </a:graphicData>
            </a:graphic>
          </wp:inline>
        </w:drawing>
      </w:r>
    </w:p>
    <w:p>
      <w:pPr>
        <w:pStyle w:val="20"/>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20"/>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汽车研究总院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20"/>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pPr>
        <w:pStyle w:val="20"/>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9"/>
          <w:rFonts w:hint="eastAsia" w:ascii="宋体" w:hAnsi="宋体" w:eastAsia="宋体" w:cs="宋体"/>
          <w:sz w:val="24"/>
          <w:szCs w:val="24"/>
        </w:rPr>
        <w:fldChar w:fldCharType="begin"/>
      </w:r>
      <w:r>
        <w:rPr>
          <w:rStyle w:val="4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9"/>
          <w:rFonts w:hint="eastAsia" w:ascii="宋体" w:hAnsi="宋体" w:eastAsia="宋体" w:cs="宋体"/>
          <w:sz w:val="24"/>
          <w:szCs w:val="24"/>
        </w:rP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20"/>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pPr>
        <w:pStyle w:val="20"/>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PowerPlusWaterMarkObject81859546" o:spid="_x0000_s4125" o:spt="136" type="#_x0000_t136" style="position:absolute;left:0pt;margin-left:711.4pt;margin-top:169.4pt;height:14pt;width:129pt;mso-position-horizontal-relative:margin;mso-position-vertical-relative:margin;rotation:-2949120f;z-index:-2515988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748336" o:spid="_x0000_s4126" o:spt="136" type="#_x0000_t136" style="position:absolute;left:0pt;margin-left:599pt;margin-top:281.85pt;height:14pt;width:129pt;mso-position-horizontal-relative:margin;mso-position-vertical-relative:margin;rotation:-2949120f;z-index:-2515998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194555" o:spid="_x0000_s4127" o:spt="136" type="#_x0000_t136" style="position:absolute;left:0pt;margin-left:486.55pt;margin-top:394.25pt;height:14pt;width:129pt;mso-position-horizontal-relative:margin;mso-position-vertical-relative:margin;rotation:-2949120f;z-index:-2516008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591529" o:spid="_x0000_s4128" o:spt="136" type="#_x0000_t136" style="position:absolute;left:0pt;margin-left:374.15pt;margin-top:506.7pt;height:14pt;width:129pt;mso-position-horizontal-relative:margin;mso-position-vertical-relative:margin;rotation:-2949120f;z-index:-25160192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140105" o:spid="_x0000_s4129" o:spt="136" type="#_x0000_t136" style="position:absolute;left:0pt;margin-left:599pt;margin-top:-77.45pt;height:14pt;width:129pt;mso-position-horizontal-relative:margin;mso-position-vertical-relative:margin;rotation:-2949120f;z-index:-25160294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9678133" o:spid="_x0000_s4130" o:spt="136" type="#_x0000_t136" style="position:absolute;left:0pt;margin-left:486.55pt;margin-top:34.95pt;height:14pt;width:129pt;mso-position-horizontal-relative:margin;mso-position-vertical-relative:margin;rotation:-2949120f;z-index:-25160396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815248" o:spid="_x0000_s4131" o:spt="136" type="#_x0000_t136" style="position:absolute;left:0pt;margin-left:374.15pt;margin-top:147.4pt;height:14pt;width:129pt;mso-position-horizontal-relative:margin;mso-position-vertical-relative:margin;rotation:-2949120f;z-index:-25160499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720005" o:spid="_x0000_s4132" o:spt="136" type="#_x0000_t136" style="position:absolute;left:0pt;margin-left:261.7pt;margin-top:259.8pt;height:14pt;width:129pt;mso-position-horizontal-relative:margin;mso-position-vertical-relative:margin;rotation:-2949120f;z-index:-25160601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383655" o:spid="_x0000_s4133" o:spt="136" type="#_x0000_t136" style="position:absolute;left:0pt;margin-left:149.25pt;margin-top:372.25pt;height:14pt;width:129pt;mso-position-horizontal-relative:margin;mso-position-vertical-relative:margin;rotation:-2949120f;z-index:-25160704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709287" o:spid="_x0000_s4134" o:spt="136" type="#_x0000_t136" style="position:absolute;left:0pt;margin-left:36.85pt;margin-top:484.7pt;height:14pt;width:129pt;mso-position-horizontal-relative:margin;mso-position-vertical-relative:margin;rotation:-2949120f;z-index:-25160806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395115" o:spid="_x0000_s4135" o:spt="136" type="#_x0000_t136" style="position:absolute;left:0pt;margin-left:261.7pt;margin-top:-99.5pt;height:14pt;width:129pt;mso-position-horizontal-relative:margin;mso-position-vertical-relative:margin;rotation:-2949120f;z-index:-25160908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093838" o:spid="_x0000_s4136" o:spt="136" type="#_x0000_t136" style="position:absolute;left:0pt;margin-left:149.25pt;margin-top:12.95pt;height:14pt;width:129pt;mso-position-horizontal-relative:margin;mso-position-vertical-relative:margin;rotation:-2949120f;z-index:-25161011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6310596" o:spid="_x0000_s4137" o:spt="136" type="#_x0000_t136" style="position:absolute;left:0pt;margin-left:36.85pt;margin-top:125.4pt;height:14pt;width:129pt;mso-position-horizontal-relative:margin;mso-position-vertical-relative:margin;rotation:-2949120f;z-index:-25161113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5638810" o:spid="_x0000_s4138" o:spt="136" type="#_x0000_t136" style="position:absolute;left:0pt;margin-left:-75.6pt;margin-top:237.8pt;height:14pt;width:129pt;mso-position-horizontal-relative:margin;mso-position-vertical-relative:margin;rotation:-2949120f;z-index:-25161216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rPr>
        <w:sz w:val="18"/>
      </w:rPr>
      <w:pict>
        <v:shape id="PowerPlusWaterMarkObject9043044" o:spid="_x0000_s4097" o:spt="136" type="#_x0000_t136" style="position:absolute;left:0pt;margin-left:472.35pt;margin-top:400.0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8089202" o:spid="_x0000_s4098" o:spt="136" type="#_x0000_t136" style="position:absolute;left:0pt;margin-left:359.95pt;margin-top:512.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7149450" o:spid="_x0000_s4099" o:spt="136" type="#_x0000_t136" style="position:absolute;left:0pt;margin-left:247.5pt;margin-top:624.9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2293" o:spid="_x0000_s4100" o:spt="136" type="#_x0000_t136" style="position:absolute;left:0pt;margin-left:135.05pt;margin-top:737.3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922735" o:spid="_x0000_s4101" o:spt="136" type="#_x0000_t136" style="position:absolute;left:0pt;margin-left:472.35pt;margin-top:40.7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327273" o:spid="_x0000_s4102" o:spt="136" type="#_x0000_t136" style="position:absolute;left:0pt;margin-left:359.95pt;margin-top:153.1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4341382" o:spid="_x0000_s4103" o:spt="136" type="#_x0000_t136" style="position:absolute;left:0pt;margin-left:247.5pt;margin-top:265.6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987704" o:spid="_x0000_s4104" o:spt="136" type="#_x0000_t136" style="position:absolute;left:0pt;margin-left:135.05pt;margin-top:378.0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070278" o:spid="_x0000_s4105" o:spt="136" type="#_x0000_t136" style="position:absolute;left:0pt;margin-left:22.65pt;margin-top:490.4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2084049" o:spid="_x0000_s4106" o:spt="136" type="#_x0000_t136" style="position:absolute;left:0pt;margin-left:-89.8pt;margin-top:602.9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892867" o:spid="_x0000_s4107" o:spt="136" type="#_x0000_t136" style="position:absolute;left:0pt;margin-left:247.5pt;margin-top:-9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54599" o:spid="_x0000_s4108" o:spt="136" type="#_x0000_t136" style="position:absolute;left:0pt;margin-left:135.05pt;margin-top:18.7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384" o:spid="_x0000_s4109" o:spt="136" type="#_x0000_t136" style="position:absolute;left:0pt;margin-left:22.65pt;margin-top:131.1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8737" o:spid="_x0000_s4110" o:spt="136" type="#_x0000_t136" style="position:absolute;left:0pt;margin-left:-89.8pt;margin-top:243.5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r>
      <w:rPr>
        <w:sz w:val="18"/>
      </w:rPr>
      <w:pict>
        <v:shape id="PowerPlusWaterMarkObject74730566" o:spid="_x0000_s4139" o:spt="136" type="#_x0000_t136" style="position:absolute;left:0pt;margin-left:711.4pt;margin-top:169.4pt;height:14pt;width:129pt;mso-position-horizontal-relative:margin;mso-position-vertical-relative:margin;rotation:-2949120f;z-index:-25161318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4215494" o:spid="_x0000_s4140" o:spt="136" type="#_x0000_t136" style="position:absolute;left:0pt;margin-left:599pt;margin-top:281.85pt;height:14pt;width:129pt;mso-position-horizontal-relative:margin;mso-position-vertical-relative:margin;rotation:-2949120f;z-index:-25161420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3553336" o:spid="_x0000_s4141" o:spt="136" type="#_x0000_t136" style="position:absolute;left:0pt;margin-left:486.55pt;margin-top:394.25pt;height:14pt;width:129pt;mso-position-horizontal-relative:margin;mso-position-vertical-relative:margin;rotation:-2949120f;z-index:-25161523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64606" o:spid="_x0000_s4142" o:spt="136" type="#_x0000_t136" style="position:absolute;left:0pt;margin-left:374.15pt;margin-top:506.7pt;height:14pt;width:129pt;mso-position-horizontal-relative:margin;mso-position-vertical-relative:margin;rotation:-2949120f;z-index:-25161625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28398" o:spid="_x0000_s4143" o:spt="136" type="#_x0000_t136" style="position:absolute;left:0pt;margin-left:599pt;margin-top:-77.45pt;height:14pt;width:129pt;mso-position-horizontal-relative:margin;mso-position-vertical-relative:margin;rotation:-2949120f;z-index:-25161728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563767" o:spid="_x0000_s4144" o:spt="136" type="#_x0000_t136" style="position:absolute;left:0pt;margin-left:486.55pt;margin-top:34.95pt;height:14pt;width:129pt;mso-position-horizontal-relative:margin;mso-position-vertical-relative:margin;rotation:-2949120f;z-index:-25161830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386113" o:spid="_x0000_s4145" o:spt="136" type="#_x0000_t136" style="position:absolute;left:0pt;margin-left:374.15pt;margin-top:147.4pt;height:14pt;width:129pt;mso-position-horizontal-relative:margin;mso-position-vertical-relative:margin;rotation:-2949120f;z-index:-25161932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246531" o:spid="_x0000_s4146" o:spt="136" type="#_x0000_t136" style="position:absolute;left:0pt;margin-left:261.7pt;margin-top:259.8pt;height:14pt;width:129pt;mso-position-horizontal-relative:margin;mso-position-vertical-relative:margin;rotation:-2949120f;z-index:-25162035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155929" o:spid="_x0000_s4147" o:spt="136" type="#_x0000_t136" style="position:absolute;left:0pt;margin-left:149.25pt;margin-top:372.25pt;height:14pt;width:129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491388" o:spid="_x0000_s4148" o:spt="136" type="#_x0000_t136" style="position:absolute;left:0pt;margin-left:36.85pt;margin-top:484.7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264145" o:spid="_x0000_s4149" o:spt="136" type="#_x0000_t136" style="position:absolute;left:0pt;margin-left:261.7pt;margin-top:-99.5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49767" o:spid="_x0000_s4150" o:spt="136" type="#_x0000_t136" style="position:absolute;left:0pt;margin-left:149.25pt;margin-top:12.9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08251" o:spid="_x0000_s4151" o:spt="136" type="#_x0000_t136" style="position:absolute;left:0pt;margin-left:36.85pt;margin-top:125.4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69991268" o:spid="_x0000_s4152" o:spt="136" type="#_x0000_t136" style="position:absolute;left:0pt;margin-left:-75.6pt;margin-top:237.8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2BCEB"/>
    <w:multiLevelType w:val="multilevel"/>
    <w:tmpl w:val="8612BCEB"/>
    <w:lvl w:ilvl="0" w:tentative="0">
      <w:start w:val="2"/>
      <w:numFmt w:val="decimal"/>
      <w:lvlText w:val="%1."/>
      <w:lvlJc w:val="left"/>
      <w:pPr>
        <w:tabs>
          <w:tab w:val="left" w:pos="312"/>
        </w:tabs>
      </w:pPr>
    </w:lvl>
    <w:lvl w:ilvl="1" w:tentative="0">
      <w:start w:val="2"/>
      <w:numFmt w:val="decimal"/>
      <w:isLgl/>
      <w:lvlText w:val="%1.%2"/>
      <w:lvlJc w:val="left"/>
      <w:pPr>
        <w:ind w:left="960" w:hanging="480"/>
      </w:pPr>
      <w:rPr>
        <w:rFonts w:hint="default"/>
      </w:rPr>
    </w:lvl>
    <w:lvl w:ilvl="2" w:tentative="0">
      <w:start w:val="1"/>
      <w:numFmt w:val="decimal"/>
      <w:isLgl/>
      <w:lvlText w:val="%1.%2.%3"/>
      <w:lvlJc w:val="left"/>
      <w:pPr>
        <w:ind w:left="1680" w:hanging="720"/>
      </w:pPr>
      <w:rPr>
        <w:rFonts w:hint="default"/>
      </w:rPr>
    </w:lvl>
    <w:lvl w:ilvl="3" w:tentative="0">
      <w:start w:val="1"/>
      <w:numFmt w:val="decimal"/>
      <w:isLgl/>
      <w:lvlText w:val="%1.%2.%3.%4"/>
      <w:lvlJc w:val="left"/>
      <w:pPr>
        <w:ind w:left="2520" w:hanging="1080"/>
      </w:pPr>
      <w:rPr>
        <w:rFonts w:hint="default"/>
      </w:rPr>
    </w:lvl>
    <w:lvl w:ilvl="4" w:tentative="0">
      <w:start w:val="1"/>
      <w:numFmt w:val="decimal"/>
      <w:isLgl/>
      <w:lvlText w:val="%1.%2.%3.%4.%5"/>
      <w:lvlJc w:val="left"/>
      <w:pPr>
        <w:ind w:left="3000" w:hanging="1080"/>
      </w:pPr>
      <w:rPr>
        <w:rFonts w:hint="default"/>
      </w:rPr>
    </w:lvl>
    <w:lvl w:ilvl="5" w:tentative="0">
      <w:start w:val="1"/>
      <w:numFmt w:val="decimal"/>
      <w:isLgl/>
      <w:lvlText w:val="%1.%2.%3.%4.%5.%6"/>
      <w:lvlJc w:val="left"/>
      <w:pPr>
        <w:ind w:left="3840" w:hanging="1440"/>
      </w:pPr>
      <w:rPr>
        <w:rFonts w:hint="default"/>
      </w:rPr>
    </w:lvl>
    <w:lvl w:ilvl="6" w:tentative="0">
      <w:start w:val="1"/>
      <w:numFmt w:val="decimal"/>
      <w:isLgl/>
      <w:lvlText w:val="%1.%2.%3.%4.%5.%6.%7"/>
      <w:lvlJc w:val="left"/>
      <w:pPr>
        <w:ind w:left="4680" w:hanging="1800"/>
      </w:pPr>
      <w:rPr>
        <w:rFonts w:hint="default"/>
      </w:rPr>
    </w:lvl>
    <w:lvl w:ilvl="7" w:tentative="0">
      <w:start w:val="1"/>
      <w:numFmt w:val="decimal"/>
      <w:isLgl/>
      <w:lvlText w:val="%1.%2.%3.%4.%5.%6.%7.%8"/>
      <w:lvlJc w:val="left"/>
      <w:pPr>
        <w:ind w:left="5160" w:hanging="1800"/>
      </w:pPr>
      <w:rPr>
        <w:rFonts w:hint="default"/>
      </w:rPr>
    </w:lvl>
    <w:lvl w:ilvl="8" w:tentative="0">
      <w:start w:val="1"/>
      <w:numFmt w:val="decimal"/>
      <w:isLgl/>
      <w:lvlText w:val="%1.%2.%3.%4.%5.%6.%7.%8.%9"/>
      <w:lvlJc w:val="left"/>
      <w:pPr>
        <w:ind w:left="6000" w:hanging="2160"/>
      </w:pPr>
      <w:rPr>
        <w:rFonts w:hint="default"/>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D9F6E705"/>
    <w:multiLevelType w:val="singleLevel"/>
    <w:tmpl w:val="D9F6E705"/>
    <w:lvl w:ilvl="0" w:tentative="0">
      <w:start w:val="1"/>
      <w:numFmt w:val="decimal"/>
      <w:suff w:val="nothing"/>
      <w:lvlText w:val="%1）"/>
      <w:lvlJc w:val="left"/>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B770AB8"/>
    <w:multiLevelType w:val="multilevel"/>
    <w:tmpl w:val="1B770AB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07D1664"/>
    <w:multiLevelType w:val="multilevel"/>
    <w:tmpl w:val="207D166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3142684"/>
    <w:multiLevelType w:val="multilevel"/>
    <w:tmpl w:val="7314268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4">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12"/>
  </w:num>
  <w:num w:numId="3">
    <w:abstractNumId w:val="1"/>
  </w:num>
  <w:num w:numId="4">
    <w:abstractNumId w:val="14"/>
  </w:num>
  <w:num w:numId="5">
    <w:abstractNumId w:val="9"/>
  </w:num>
  <w:num w:numId="6">
    <w:abstractNumId w:val="5"/>
  </w:num>
  <w:num w:numId="7">
    <w:abstractNumId w:val="11"/>
  </w:num>
  <w:num w:numId="8">
    <w:abstractNumId w:val="2"/>
  </w:num>
  <w:num w:numId="9">
    <w:abstractNumId w:val="10"/>
  </w:num>
  <w:num w:numId="10">
    <w:abstractNumId w:val="7"/>
  </w:num>
  <w:num w:numId="11">
    <w:abstractNumId w:val="6"/>
  </w:num>
  <w:num w:numId="12">
    <w:abstractNumId w:val="0"/>
  </w:num>
  <w:num w:numId="13">
    <w:abstractNumId w:val="13"/>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4832F2"/>
    <w:rsid w:val="014D51C1"/>
    <w:rsid w:val="01714809"/>
    <w:rsid w:val="01C52478"/>
    <w:rsid w:val="025C7FF6"/>
    <w:rsid w:val="027408EE"/>
    <w:rsid w:val="02963F39"/>
    <w:rsid w:val="02A62A31"/>
    <w:rsid w:val="02B3095A"/>
    <w:rsid w:val="02BA7274"/>
    <w:rsid w:val="02C32E43"/>
    <w:rsid w:val="02E61E15"/>
    <w:rsid w:val="03251978"/>
    <w:rsid w:val="0325718A"/>
    <w:rsid w:val="042921B6"/>
    <w:rsid w:val="043B72BB"/>
    <w:rsid w:val="04461EC1"/>
    <w:rsid w:val="04504B3F"/>
    <w:rsid w:val="04915503"/>
    <w:rsid w:val="04AD02B8"/>
    <w:rsid w:val="04DE51C8"/>
    <w:rsid w:val="04DF17D4"/>
    <w:rsid w:val="05412745"/>
    <w:rsid w:val="05491761"/>
    <w:rsid w:val="055C1AD8"/>
    <w:rsid w:val="05A351AD"/>
    <w:rsid w:val="05F9748A"/>
    <w:rsid w:val="06266F78"/>
    <w:rsid w:val="063E7B7A"/>
    <w:rsid w:val="06582413"/>
    <w:rsid w:val="067E33B8"/>
    <w:rsid w:val="06E82FCB"/>
    <w:rsid w:val="06F34B95"/>
    <w:rsid w:val="07571DAC"/>
    <w:rsid w:val="084859A3"/>
    <w:rsid w:val="08DD171B"/>
    <w:rsid w:val="08E64121"/>
    <w:rsid w:val="090D588C"/>
    <w:rsid w:val="0942017F"/>
    <w:rsid w:val="09BA1FBB"/>
    <w:rsid w:val="09CB139F"/>
    <w:rsid w:val="0A0106F5"/>
    <w:rsid w:val="0A112AB7"/>
    <w:rsid w:val="0A4E5482"/>
    <w:rsid w:val="0AAA504A"/>
    <w:rsid w:val="0AD71BC7"/>
    <w:rsid w:val="0AF420EB"/>
    <w:rsid w:val="0B2B2BF5"/>
    <w:rsid w:val="0B2F3908"/>
    <w:rsid w:val="0B3F6206"/>
    <w:rsid w:val="0B6E15DE"/>
    <w:rsid w:val="0BE12DB6"/>
    <w:rsid w:val="0BFC6504"/>
    <w:rsid w:val="0C345AD1"/>
    <w:rsid w:val="0C626CE4"/>
    <w:rsid w:val="0D0C2B7B"/>
    <w:rsid w:val="0D5F6D00"/>
    <w:rsid w:val="0D9308F8"/>
    <w:rsid w:val="0DE76C3D"/>
    <w:rsid w:val="0E1A1D85"/>
    <w:rsid w:val="0E750568"/>
    <w:rsid w:val="0E9C3C97"/>
    <w:rsid w:val="0F2D7A80"/>
    <w:rsid w:val="0F4277E5"/>
    <w:rsid w:val="0F4C5227"/>
    <w:rsid w:val="0F684B57"/>
    <w:rsid w:val="0FA75561"/>
    <w:rsid w:val="0FB83603"/>
    <w:rsid w:val="0FCA77F1"/>
    <w:rsid w:val="0FCD5DCC"/>
    <w:rsid w:val="0FDB0E3A"/>
    <w:rsid w:val="10043197"/>
    <w:rsid w:val="10270545"/>
    <w:rsid w:val="103409DF"/>
    <w:rsid w:val="1087069D"/>
    <w:rsid w:val="108A1D4B"/>
    <w:rsid w:val="10921F4C"/>
    <w:rsid w:val="10A10111"/>
    <w:rsid w:val="10A17FC7"/>
    <w:rsid w:val="10BE093E"/>
    <w:rsid w:val="10E20BD8"/>
    <w:rsid w:val="111B0FE9"/>
    <w:rsid w:val="112C77F4"/>
    <w:rsid w:val="114755AB"/>
    <w:rsid w:val="115F67A8"/>
    <w:rsid w:val="119604A6"/>
    <w:rsid w:val="119A7465"/>
    <w:rsid w:val="11C07DA5"/>
    <w:rsid w:val="11C2491E"/>
    <w:rsid w:val="11F36B75"/>
    <w:rsid w:val="12491386"/>
    <w:rsid w:val="12751983"/>
    <w:rsid w:val="12887F77"/>
    <w:rsid w:val="12E60579"/>
    <w:rsid w:val="12E66E96"/>
    <w:rsid w:val="12EB0F02"/>
    <w:rsid w:val="12FE6E3A"/>
    <w:rsid w:val="13695B36"/>
    <w:rsid w:val="1372609F"/>
    <w:rsid w:val="13D73572"/>
    <w:rsid w:val="14504752"/>
    <w:rsid w:val="145A6A37"/>
    <w:rsid w:val="1467440F"/>
    <w:rsid w:val="153955DC"/>
    <w:rsid w:val="15400323"/>
    <w:rsid w:val="15433A9B"/>
    <w:rsid w:val="15481005"/>
    <w:rsid w:val="15584512"/>
    <w:rsid w:val="15A93017"/>
    <w:rsid w:val="15FC2F04"/>
    <w:rsid w:val="16181FAC"/>
    <w:rsid w:val="163C579E"/>
    <w:rsid w:val="164B1DA1"/>
    <w:rsid w:val="16501B6B"/>
    <w:rsid w:val="168756A0"/>
    <w:rsid w:val="16F94849"/>
    <w:rsid w:val="17045E51"/>
    <w:rsid w:val="172011D4"/>
    <w:rsid w:val="17252C3B"/>
    <w:rsid w:val="173F0A2E"/>
    <w:rsid w:val="17770BC2"/>
    <w:rsid w:val="17860E2F"/>
    <w:rsid w:val="17A119AA"/>
    <w:rsid w:val="18586F2B"/>
    <w:rsid w:val="19442DF9"/>
    <w:rsid w:val="19873C1D"/>
    <w:rsid w:val="19A766B9"/>
    <w:rsid w:val="19CE76BA"/>
    <w:rsid w:val="19F26070"/>
    <w:rsid w:val="19F97C8B"/>
    <w:rsid w:val="1A1523CE"/>
    <w:rsid w:val="1A6A6939"/>
    <w:rsid w:val="1AA730BD"/>
    <w:rsid w:val="1B333D5D"/>
    <w:rsid w:val="1B587618"/>
    <w:rsid w:val="1B5F19C7"/>
    <w:rsid w:val="1B823DEE"/>
    <w:rsid w:val="1C1C709B"/>
    <w:rsid w:val="1C4F6795"/>
    <w:rsid w:val="1C9F6814"/>
    <w:rsid w:val="1CCB626F"/>
    <w:rsid w:val="1D1F0356"/>
    <w:rsid w:val="1D5C514E"/>
    <w:rsid w:val="1D865D14"/>
    <w:rsid w:val="1D8705EC"/>
    <w:rsid w:val="1DD872E4"/>
    <w:rsid w:val="1DEC0E7D"/>
    <w:rsid w:val="1E43150B"/>
    <w:rsid w:val="1EA93E80"/>
    <w:rsid w:val="1ED04B7D"/>
    <w:rsid w:val="1ED33FB6"/>
    <w:rsid w:val="1EE81332"/>
    <w:rsid w:val="1F197111"/>
    <w:rsid w:val="1F32415A"/>
    <w:rsid w:val="1F424861"/>
    <w:rsid w:val="1F542F9A"/>
    <w:rsid w:val="1F702632"/>
    <w:rsid w:val="1F7E2174"/>
    <w:rsid w:val="1FDC6454"/>
    <w:rsid w:val="1FE63629"/>
    <w:rsid w:val="20107567"/>
    <w:rsid w:val="2035487C"/>
    <w:rsid w:val="204149A4"/>
    <w:rsid w:val="20916A7C"/>
    <w:rsid w:val="20AB56C6"/>
    <w:rsid w:val="214A3F2E"/>
    <w:rsid w:val="21547789"/>
    <w:rsid w:val="2176507C"/>
    <w:rsid w:val="21BE35AF"/>
    <w:rsid w:val="21C11174"/>
    <w:rsid w:val="22244B28"/>
    <w:rsid w:val="22467FD4"/>
    <w:rsid w:val="229451FD"/>
    <w:rsid w:val="22A12DB6"/>
    <w:rsid w:val="22D11FA9"/>
    <w:rsid w:val="236356D1"/>
    <w:rsid w:val="236B5802"/>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9C6B0E"/>
    <w:rsid w:val="27A64735"/>
    <w:rsid w:val="27CC4DF2"/>
    <w:rsid w:val="281864F2"/>
    <w:rsid w:val="286903EF"/>
    <w:rsid w:val="287F5DD3"/>
    <w:rsid w:val="288047CB"/>
    <w:rsid w:val="289E62FA"/>
    <w:rsid w:val="28FD6E90"/>
    <w:rsid w:val="291E2CA6"/>
    <w:rsid w:val="29331862"/>
    <w:rsid w:val="299741EC"/>
    <w:rsid w:val="299E147F"/>
    <w:rsid w:val="29C32A87"/>
    <w:rsid w:val="29CF26DC"/>
    <w:rsid w:val="2A1C5DA0"/>
    <w:rsid w:val="2A200D39"/>
    <w:rsid w:val="2A280AB9"/>
    <w:rsid w:val="2A507EFF"/>
    <w:rsid w:val="2ADC05A4"/>
    <w:rsid w:val="2AEF2177"/>
    <w:rsid w:val="2B5D60D4"/>
    <w:rsid w:val="2B6F0D7F"/>
    <w:rsid w:val="2B8716BD"/>
    <w:rsid w:val="2B8B76FF"/>
    <w:rsid w:val="2BD5034F"/>
    <w:rsid w:val="2BE05C4E"/>
    <w:rsid w:val="2C924AE7"/>
    <w:rsid w:val="2D025012"/>
    <w:rsid w:val="2D3B693B"/>
    <w:rsid w:val="2D4178F0"/>
    <w:rsid w:val="2D7711AA"/>
    <w:rsid w:val="2D7D58EB"/>
    <w:rsid w:val="2DA45D22"/>
    <w:rsid w:val="2DAE631A"/>
    <w:rsid w:val="2DD65954"/>
    <w:rsid w:val="2DD877E0"/>
    <w:rsid w:val="2DE616C9"/>
    <w:rsid w:val="2DE801DF"/>
    <w:rsid w:val="2DFC2451"/>
    <w:rsid w:val="2E3422F8"/>
    <w:rsid w:val="2E3D68D2"/>
    <w:rsid w:val="2E6E566D"/>
    <w:rsid w:val="2E7F188E"/>
    <w:rsid w:val="2EA91D49"/>
    <w:rsid w:val="2EBC0905"/>
    <w:rsid w:val="2EC73739"/>
    <w:rsid w:val="2EFB1B0E"/>
    <w:rsid w:val="2F5C684F"/>
    <w:rsid w:val="2F63756E"/>
    <w:rsid w:val="2F6812EF"/>
    <w:rsid w:val="2F922AC9"/>
    <w:rsid w:val="2FE6553A"/>
    <w:rsid w:val="303D4E30"/>
    <w:rsid w:val="30767505"/>
    <w:rsid w:val="307776D1"/>
    <w:rsid w:val="30862574"/>
    <w:rsid w:val="309D1AAC"/>
    <w:rsid w:val="30AD52F3"/>
    <w:rsid w:val="30B631E1"/>
    <w:rsid w:val="30F658E4"/>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413677D"/>
    <w:rsid w:val="342B544B"/>
    <w:rsid w:val="345E036E"/>
    <w:rsid w:val="34A7571D"/>
    <w:rsid w:val="34C47852"/>
    <w:rsid w:val="34DE1E4F"/>
    <w:rsid w:val="34F07DB1"/>
    <w:rsid w:val="357E6FD1"/>
    <w:rsid w:val="359009FB"/>
    <w:rsid w:val="35D354B8"/>
    <w:rsid w:val="35D4025C"/>
    <w:rsid w:val="362666BC"/>
    <w:rsid w:val="363646D4"/>
    <w:rsid w:val="368A6B11"/>
    <w:rsid w:val="36ED2AA8"/>
    <w:rsid w:val="36F44712"/>
    <w:rsid w:val="37085B1F"/>
    <w:rsid w:val="372E04CB"/>
    <w:rsid w:val="38783D6C"/>
    <w:rsid w:val="38E070F2"/>
    <w:rsid w:val="390D33AB"/>
    <w:rsid w:val="391E6D06"/>
    <w:rsid w:val="39573D9E"/>
    <w:rsid w:val="39D63AE8"/>
    <w:rsid w:val="3A074847"/>
    <w:rsid w:val="3A830B2E"/>
    <w:rsid w:val="3AA90FE6"/>
    <w:rsid w:val="3AA9318F"/>
    <w:rsid w:val="3AB62DA0"/>
    <w:rsid w:val="3B057828"/>
    <w:rsid w:val="3B69577B"/>
    <w:rsid w:val="3B702D85"/>
    <w:rsid w:val="3B7D3FD5"/>
    <w:rsid w:val="3B7F4E52"/>
    <w:rsid w:val="3B823DDF"/>
    <w:rsid w:val="3BD827B4"/>
    <w:rsid w:val="3C1D3AA1"/>
    <w:rsid w:val="3C237ED3"/>
    <w:rsid w:val="3C4D2D59"/>
    <w:rsid w:val="3C872CDC"/>
    <w:rsid w:val="3CAA596A"/>
    <w:rsid w:val="3CAF1D22"/>
    <w:rsid w:val="3CB1587B"/>
    <w:rsid w:val="3CB735F2"/>
    <w:rsid w:val="3D186684"/>
    <w:rsid w:val="3D260E6E"/>
    <w:rsid w:val="3D363C36"/>
    <w:rsid w:val="3D686B10"/>
    <w:rsid w:val="3D8B2178"/>
    <w:rsid w:val="3D8F4DAA"/>
    <w:rsid w:val="3DB34909"/>
    <w:rsid w:val="3DD115F5"/>
    <w:rsid w:val="3DE435F0"/>
    <w:rsid w:val="3DE5122C"/>
    <w:rsid w:val="3DF37E53"/>
    <w:rsid w:val="3E0E37DD"/>
    <w:rsid w:val="3ED26DE9"/>
    <w:rsid w:val="3EED17D0"/>
    <w:rsid w:val="3F0C0304"/>
    <w:rsid w:val="3F774839"/>
    <w:rsid w:val="3FBD02CF"/>
    <w:rsid w:val="3FEC147E"/>
    <w:rsid w:val="3FED7DE8"/>
    <w:rsid w:val="40376375"/>
    <w:rsid w:val="411411E7"/>
    <w:rsid w:val="412732B7"/>
    <w:rsid w:val="4127791F"/>
    <w:rsid w:val="41281794"/>
    <w:rsid w:val="413C1FDF"/>
    <w:rsid w:val="41806A69"/>
    <w:rsid w:val="41B0259C"/>
    <w:rsid w:val="41B77686"/>
    <w:rsid w:val="41BC6F1C"/>
    <w:rsid w:val="41EF2363"/>
    <w:rsid w:val="41F77860"/>
    <w:rsid w:val="424A4B98"/>
    <w:rsid w:val="42581D3A"/>
    <w:rsid w:val="428E23A1"/>
    <w:rsid w:val="42ED2EA4"/>
    <w:rsid w:val="42F6649D"/>
    <w:rsid w:val="42FE0080"/>
    <w:rsid w:val="43315D2E"/>
    <w:rsid w:val="43670C99"/>
    <w:rsid w:val="43824A1C"/>
    <w:rsid w:val="43D110E1"/>
    <w:rsid w:val="43E873C9"/>
    <w:rsid w:val="441575BD"/>
    <w:rsid w:val="44905B1F"/>
    <w:rsid w:val="45056C1E"/>
    <w:rsid w:val="45316885"/>
    <w:rsid w:val="45A95EE9"/>
    <w:rsid w:val="45FB0F21"/>
    <w:rsid w:val="46167166"/>
    <w:rsid w:val="46174EF7"/>
    <w:rsid w:val="4636719A"/>
    <w:rsid w:val="465859F2"/>
    <w:rsid w:val="47200EE3"/>
    <w:rsid w:val="47435AC2"/>
    <w:rsid w:val="47544B78"/>
    <w:rsid w:val="47587AF7"/>
    <w:rsid w:val="47745A86"/>
    <w:rsid w:val="47886D63"/>
    <w:rsid w:val="47E239AC"/>
    <w:rsid w:val="480F4B73"/>
    <w:rsid w:val="487974BD"/>
    <w:rsid w:val="48AE506D"/>
    <w:rsid w:val="48DB38E3"/>
    <w:rsid w:val="49001B5E"/>
    <w:rsid w:val="49376DB0"/>
    <w:rsid w:val="49804BB7"/>
    <w:rsid w:val="49826DCB"/>
    <w:rsid w:val="499013E7"/>
    <w:rsid w:val="49A22843"/>
    <w:rsid w:val="49C8088A"/>
    <w:rsid w:val="4A0F6D68"/>
    <w:rsid w:val="4A233384"/>
    <w:rsid w:val="4A301C93"/>
    <w:rsid w:val="4A3302AB"/>
    <w:rsid w:val="4A572A17"/>
    <w:rsid w:val="4A6F2535"/>
    <w:rsid w:val="4AC85D49"/>
    <w:rsid w:val="4AE308A9"/>
    <w:rsid w:val="4B260F2D"/>
    <w:rsid w:val="4B9049B6"/>
    <w:rsid w:val="4B9A1456"/>
    <w:rsid w:val="4BA32C82"/>
    <w:rsid w:val="4BD134C2"/>
    <w:rsid w:val="4BE70627"/>
    <w:rsid w:val="4C0A5AE1"/>
    <w:rsid w:val="4C130AB8"/>
    <w:rsid w:val="4C5A284D"/>
    <w:rsid w:val="4C5C0673"/>
    <w:rsid w:val="4CB96B43"/>
    <w:rsid w:val="4CC75FCC"/>
    <w:rsid w:val="4CC87A5E"/>
    <w:rsid w:val="4CD63947"/>
    <w:rsid w:val="4CF957AB"/>
    <w:rsid w:val="4CFC49F4"/>
    <w:rsid w:val="4D073D73"/>
    <w:rsid w:val="4D1E27BA"/>
    <w:rsid w:val="4D23574A"/>
    <w:rsid w:val="4D4C4DB0"/>
    <w:rsid w:val="4D7322D5"/>
    <w:rsid w:val="4DD7034C"/>
    <w:rsid w:val="4DE312CB"/>
    <w:rsid w:val="4DF5318E"/>
    <w:rsid w:val="4E1F4862"/>
    <w:rsid w:val="4E2E4393"/>
    <w:rsid w:val="4E535EF2"/>
    <w:rsid w:val="4E9E55D0"/>
    <w:rsid w:val="4F08773C"/>
    <w:rsid w:val="4F102B4E"/>
    <w:rsid w:val="4F31409F"/>
    <w:rsid w:val="4F5955B2"/>
    <w:rsid w:val="4F5E670E"/>
    <w:rsid w:val="4F846A83"/>
    <w:rsid w:val="50070E2C"/>
    <w:rsid w:val="501112F3"/>
    <w:rsid w:val="504B57F2"/>
    <w:rsid w:val="50C5433A"/>
    <w:rsid w:val="50C62BC7"/>
    <w:rsid w:val="50F72A66"/>
    <w:rsid w:val="5123368C"/>
    <w:rsid w:val="5130747C"/>
    <w:rsid w:val="515C765A"/>
    <w:rsid w:val="51905BB3"/>
    <w:rsid w:val="51946FCB"/>
    <w:rsid w:val="51DD796B"/>
    <w:rsid w:val="51DF373B"/>
    <w:rsid w:val="51F83C2D"/>
    <w:rsid w:val="52EF4CB5"/>
    <w:rsid w:val="52F959F0"/>
    <w:rsid w:val="5302488E"/>
    <w:rsid w:val="53136173"/>
    <w:rsid w:val="534B12B7"/>
    <w:rsid w:val="539A4AC7"/>
    <w:rsid w:val="5420228D"/>
    <w:rsid w:val="542631B6"/>
    <w:rsid w:val="5447483C"/>
    <w:rsid w:val="5474625A"/>
    <w:rsid w:val="54942CAE"/>
    <w:rsid w:val="54A61722"/>
    <w:rsid w:val="54B31FAF"/>
    <w:rsid w:val="54C211D8"/>
    <w:rsid w:val="54E97446"/>
    <w:rsid w:val="551F3E29"/>
    <w:rsid w:val="55326D63"/>
    <w:rsid w:val="555C4076"/>
    <w:rsid w:val="555D1A10"/>
    <w:rsid w:val="56394926"/>
    <w:rsid w:val="56AC4A78"/>
    <w:rsid w:val="56DB16B9"/>
    <w:rsid w:val="577A3463"/>
    <w:rsid w:val="57F967AD"/>
    <w:rsid w:val="58052975"/>
    <w:rsid w:val="584D1A65"/>
    <w:rsid w:val="584F5C44"/>
    <w:rsid w:val="58504D6C"/>
    <w:rsid w:val="58E525CA"/>
    <w:rsid w:val="58E55347"/>
    <w:rsid w:val="58EE7372"/>
    <w:rsid w:val="593873A0"/>
    <w:rsid w:val="593D045A"/>
    <w:rsid w:val="5960739E"/>
    <w:rsid w:val="59896D0A"/>
    <w:rsid w:val="59972C8B"/>
    <w:rsid w:val="59B72684"/>
    <w:rsid w:val="5A295A8C"/>
    <w:rsid w:val="5A9579AE"/>
    <w:rsid w:val="5AC468CD"/>
    <w:rsid w:val="5B342B9A"/>
    <w:rsid w:val="5B5953B0"/>
    <w:rsid w:val="5B630802"/>
    <w:rsid w:val="5B807F68"/>
    <w:rsid w:val="5B822BA5"/>
    <w:rsid w:val="5BA72CE5"/>
    <w:rsid w:val="5C034D53"/>
    <w:rsid w:val="5CC81D66"/>
    <w:rsid w:val="5D722852"/>
    <w:rsid w:val="5E1D6F56"/>
    <w:rsid w:val="5E473CC7"/>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9A56B8"/>
    <w:rsid w:val="60BC76A1"/>
    <w:rsid w:val="60F0637F"/>
    <w:rsid w:val="610B7637"/>
    <w:rsid w:val="612279BA"/>
    <w:rsid w:val="615F5624"/>
    <w:rsid w:val="61786FF4"/>
    <w:rsid w:val="61D215CF"/>
    <w:rsid w:val="62593D9F"/>
    <w:rsid w:val="625C563D"/>
    <w:rsid w:val="626A1704"/>
    <w:rsid w:val="627921C2"/>
    <w:rsid w:val="62B362C8"/>
    <w:rsid w:val="62C1330E"/>
    <w:rsid w:val="6342085E"/>
    <w:rsid w:val="636F415C"/>
    <w:rsid w:val="63D22876"/>
    <w:rsid w:val="64917820"/>
    <w:rsid w:val="64AA1CC5"/>
    <w:rsid w:val="6528341F"/>
    <w:rsid w:val="656B2909"/>
    <w:rsid w:val="659B459C"/>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EE72DF"/>
    <w:rsid w:val="690B4C92"/>
    <w:rsid w:val="690B7907"/>
    <w:rsid w:val="69175F5C"/>
    <w:rsid w:val="69485FEA"/>
    <w:rsid w:val="69677DC0"/>
    <w:rsid w:val="69937EC7"/>
    <w:rsid w:val="69D64558"/>
    <w:rsid w:val="69E3623E"/>
    <w:rsid w:val="6A042548"/>
    <w:rsid w:val="6A471EFD"/>
    <w:rsid w:val="6A480B98"/>
    <w:rsid w:val="6AB57116"/>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D0E5050"/>
    <w:rsid w:val="6D4B22B8"/>
    <w:rsid w:val="6D930013"/>
    <w:rsid w:val="6E1A1656"/>
    <w:rsid w:val="6E231DD6"/>
    <w:rsid w:val="6E5A5288"/>
    <w:rsid w:val="6E8E65DD"/>
    <w:rsid w:val="6EBD310B"/>
    <w:rsid w:val="6EE013EE"/>
    <w:rsid w:val="6EE079F1"/>
    <w:rsid w:val="6EE42C42"/>
    <w:rsid w:val="6F240921"/>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D6B5C"/>
    <w:rsid w:val="71AE1AEA"/>
    <w:rsid w:val="71C00FD3"/>
    <w:rsid w:val="71CF3B6C"/>
    <w:rsid w:val="71F80F33"/>
    <w:rsid w:val="722922C6"/>
    <w:rsid w:val="727176A7"/>
    <w:rsid w:val="72CB03A1"/>
    <w:rsid w:val="732D4B5D"/>
    <w:rsid w:val="73393C88"/>
    <w:rsid w:val="7362513F"/>
    <w:rsid w:val="73771D49"/>
    <w:rsid w:val="73A1354E"/>
    <w:rsid w:val="73D20C3F"/>
    <w:rsid w:val="73E035D5"/>
    <w:rsid w:val="743D0241"/>
    <w:rsid w:val="74855143"/>
    <w:rsid w:val="74A11E7D"/>
    <w:rsid w:val="7550071B"/>
    <w:rsid w:val="75590B0A"/>
    <w:rsid w:val="7582279F"/>
    <w:rsid w:val="75843EB5"/>
    <w:rsid w:val="75912FA2"/>
    <w:rsid w:val="75BB71AF"/>
    <w:rsid w:val="75F01962"/>
    <w:rsid w:val="760E19DF"/>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81564B8"/>
    <w:rsid w:val="78224ACF"/>
    <w:rsid w:val="78CD6DCC"/>
    <w:rsid w:val="78D07CAF"/>
    <w:rsid w:val="78DE12D7"/>
    <w:rsid w:val="79210683"/>
    <w:rsid w:val="799C3465"/>
    <w:rsid w:val="79B14EC4"/>
    <w:rsid w:val="7A025270"/>
    <w:rsid w:val="7A2A6B4A"/>
    <w:rsid w:val="7A681070"/>
    <w:rsid w:val="7A860C7C"/>
    <w:rsid w:val="7AB879FE"/>
    <w:rsid w:val="7B3264DD"/>
    <w:rsid w:val="7B81188A"/>
    <w:rsid w:val="7B827630"/>
    <w:rsid w:val="7B9E2902"/>
    <w:rsid w:val="7BC854E2"/>
    <w:rsid w:val="7C0562EC"/>
    <w:rsid w:val="7C067A45"/>
    <w:rsid w:val="7C0D2ED7"/>
    <w:rsid w:val="7C1C072C"/>
    <w:rsid w:val="7C27683F"/>
    <w:rsid w:val="7C8A5545"/>
    <w:rsid w:val="7CB14B4D"/>
    <w:rsid w:val="7CF26969"/>
    <w:rsid w:val="7D25523C"/>
    <w:rsid w:val="7DB23041"/>
    <w:rsid w:val="7E5F7809"/>
    <w:rsid w:val="7ED56C53"/>
    <w:rsid w:val="7EEA1BAF"/>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51"/>
    <w:qFormat/>
    <w:uiPriority w:val="9"/>
    <w:pPr>
      <w:keepNext/>
      <w:keepLines/>
      <w:jc w:val="center"/>
      <w:outlineLvl w:val="0"/>
    </w:pPr>
    <w:rPr>
      <w:b/>
      <w:bCs/>
      <w:kern w:val="44"/>
      <w:sz w:val="36"/>
      <w:szCs w:val="44"/>
    </w:rPr>
  </w:style>
  <w:style w:type="paragraph" w:styleId="5">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
    <w:qFormat/>
    <w:uiPriority w:val="99"/>
    <w:pPr>
      <w:ind w:firstLine="420" w:firstLineChars="200"/>
    </w:pPr>
    <w:rPr>
      <w:kern w:val="0"/>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74"/>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65"/>
    <w:qFormat/>
    <w:uiPriority w:val="0"/>
    <w:pPr>
      <w:jc w:val="left"/>
    </w:p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Indent"/>
    <w:basedOn w:val="1"/>
    <w:link w:val="83"/>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5"/>
    <w:next w:val="15"/>
    <w:link w:val="56"/>
    <w:qFormat/>
    <w:uiPriority w:val="0"/>
    <w:rPr>
      <w:b/>
    </w:rPr>
  </w:style>
  <w:style w:type="paragraph" w:styleId="40">
    <w:name w:val="Body Text First Indent 2"/>
    <w:basedOn w:val="17"/>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5"/>
    <w:qFormat/>
    <w:uiPriority w:val="9"/>
    <w:rPr>
      <w:rFonts w:ascii="Arial" w:hAnsi="Arial" w:eastAsia="宋体" w:cs="Times New Roman"/>
      <w:b/>
      <w:bCs/>
      <w:sz w:val="24"/>
      <w:szCs w:val="32"/>
    </w:rPr>
  </w:style>
  <w:style w:type="character" w:customStyle="1" w:styleId="53">
    <w:name w:val="标题 3 字符"/>
    <w:basedOn w:val="43"/>
    <w:link w:val="6"/>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5"/>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3"/>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7"/>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footer" Target="footer2.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31566</Words>
  <Characters>33036</Characters>
  <Lines>305</Lines>
  <Paragraphs>86</Paragraphs>
  <TotalTime>14</TotalTime>
  <ScaleCrop>false</ScaleCrop>
  <LinksUpToDate>false</LinksUpToDate>
  <CharactersWithSpaces>39379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赵翊旭</cp:lastModifiedBy>
  <cp:lastPrinted>2022-07-01T03:19:00Z</cp:lastPrinted>
  <dcterms:modified xsi:type="dcterms:W3CDTF">2024-10-29T08:28:28Z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ies>
</file>